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6BC25" w14:textId="77777777" w:rsidR="00243FDB" w:rsidRDefault="00243FDB">
      <w:pPr>
        <w:spacing w:after="120" w:line="360" w:lineRule="auto"/>
        <w:jc w:val="center"/>
      </w:pPr>
    </w:p>
    <w:p w14:paraId="53BC9242" w14:textId="77777777" w:rsidR="00243FDB" w:rsidRDefault="00243FDB">
      <w:pPr>
        <w:spacing w:after="120" w:line="360" w:lineRule="auto"/>
        <w:jc w:val="center"/>
      </w:pPr>
    </w:p>
    <w:p w14:paraId="0443DE5F" w14:textId="77777777" w:rsidR="00243FDB" w:rsidRDefault="00F31EF6">
      <w:pPr>
        <w:spacing w:after="120" w:line="360" w:lineRule="auto"/>
        <w:jc w:val="center"/>
      </w:pPr>
      <w:r>
        <w:rPr>
          <w:noProof/>
        </w:rPr>
        <w:drawing>
          <wp:inline distT="0" distB="0" distL="0" distR="0" wp14:anchorId="10A7F2C4" wp14:editId="1618F783">
            <wp:extent cx="5657215" cy="3389630"/>
            <wp:effectExtent l="0" t="0" r="0" b="0"/>
            <wp:docPr id="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pic:cNvPicPr>
                      <a:picLocks noChangeAspect="1" noChangeArrowheads="1"/>
                    </pic:cNvPicPr>
                  </pic:nvPicPr>
                  <pic:blipFill>
                    <a:blip r:embed="rId10"/>
                    <a:stretch>
                      <a:fillRect/>
                    </a:stretch>
                  </pic:blipFill>
                  <pic:spPr bwMode="auto">
                    <a:xfrm>
                      <a:off x="0" y="0"/>
                      <a:ext cx="5657215" cy="3389630"/>
                    </a:xfrm>
                    <a:prstGeom prst="rect">
                      <a:avLst/>
                    </a:prstGeom>
                  </pic:spPr>
                </pic:pic>
              </a:graphicData>
            </a:graphic>
          </wp:inline>
        </w:drawing>
      </w:r>
    </w:p>
    <w:p w14:paraId="3AB6A7AC" w14:textId="77777777" w:rsidR="00243FDB" w:rsidRDefault="00243FDB">
      <w:pPr>
        <w:spacing w:after="120" w:line="360" w:lineRule="auto"/>
        <w:jc w:val="center"/>
        <w:rPr>
          <w:rFonts w:asciiTheme="majorHAnsi" w:hAnsiTheme="majorHAnsi"/>
          <w:b/>
          <w:bCs/>
          <w:color w:val="002060"/>
          <w:sz w:val="56"/>
          <w:szCs w:val="56"/>
        </w:rPr>
      </w:pPr>
    </w:p>
    <w:p w14:paraId="0C4B3E11" w14:textId="77777777" w:rsidR="00243FDB" w:rsidRDefault="00F31EF6">
      <w:pPr>
        <w:spacing w:after="120" w:line="360" w:lineRule="auto"/>
        <w:jc w:val="center"/>
        <w:rPr>
          <w:rFonts w:asciiTheme="majorHAnsi" w:hAnsiTheme="majorHAnsi"/>
          <w:b/>
          <w:bCs/>
          <w:color w:val="002060"/>
          <w:sz w:val="56"/>
          <w:szCs w:val="56"/>
        </w:rPr>
      </w:pPr>
      <w:r>
        <w:rPr>
          <w:rFonts w:asciiTheme="majorHAnsi" w:hAnsiTheme="majorHAnsi"/>
          <w:b/>
          <w:bCs/>
          <w:color w:val="002060"/>
          <w:sz w:val="56"/>
          <w:szCs w:val="56"/>
        </w:rPr>
        <w:t>Telford Court</w:t>
      </w:r>
    </w:p>
    <w:p w14:paraId="3D98B7B7" w14:textId="77777777" w:rsidR="00243FDB" w:rsidRDefault="00243FDB">
      <w:pPr>
        <w:spacing w:after="120" w:line="360" w:lineRule="auto"/>
        <w:jc w:val="center"/>
        <w:rPr>
          <w:rFonts w:asciiTheme="majorHAnsi" w:hAnsiTheme="majorHAnsi"/>
          <w:b/>
          <w:bCs/>
          <w:color w:val="002060"/>
          <w:sz w:val="44"/>
          <w:szCs w:val="44"/>
        </w:rPr>
      </w:pPr>
    </w:p>
    <w:p w14:paraId="26CCC165" w14:textId="77777777" w:rsidR="00243FDB" w:rsidRDefault="00F31EF6">
      <w:pPr>
        <w:spacing w:after="120" w:line="360" w:lineRule="auto"/>
        <w:jc w:val="center"/>
        <w:rPr>
          <w:rFonts w:asciiTheme="majorHAnsi" w:hAnsiTheme="majorHAnsi"/>
          <w:b/>
          <w:bCs/>
          <w:color w:val="002060"/>
          <w:sz w:val="48"/>
          <w:szCs w:val="48"/>
        </w:rPr>
      </w:pPr>
      <w:r>
        <w:rPr>
          <w:rFonts w:asciiTheme="majorHAnsi" w:hAnsiTheme="majorHAnsi"/>
          <w:b/>
          <w:bCs/>
          <w:color w:val="002060"/>
          <w:sz w:val="48"/>
          <w:szCs w:val="48"/>
        </w:rPr>
        <w:t>Complaints Policy</w:t>
      </w:r>
    </w:p>
    <w:p w14:paraId="18241856" w14:textId="25C24AFB" w:rsidR="00243FDB" w:rsidRDefault="00F31EF6" w:rsidP="430FBB38">
      <w:pPr>
        <w:spacing w:after="120" w:line="360" w:lineRule="auto"/>
        <w:jc w:val="center"/>
        <w:rPr>
          <w:rFonts w:asciiTheme="majorHAnsi" w:hAnsiTheme="majorHAnsi"/>
          <w:b/>
          <w:bCs/>
          <w:color w:val="002060"/>
          <w:sz w:val="48"/>
          <w:szCs w:val="48"/>
        </w:rPr>
      </w:pPr>
      <w:r>
        <w:rPr>
          <w:rFonts w:asciiTheme="majorHAnsi" w:hAnsiTheme="majorHAnsi"/>
          <w:b/>
          <w:bCs/>
          <w:color w:val="002060"/>
          <w:sz w:val="48"/>
          <w:szCs w:val="48"/>
        </w:rPr>
        <w:t>2026-2027</w:t>
      </w:r>
    </w:p>
    <w:p w14:paraId="3BC64A26" w14:textId="77777777" w:rsidR="00243FDB" w:rsidRDefault="00243FDB">
      <w:pPr>
        <w:rPr>
          <w:rFonts w:asciiTheme="majorHAnsi" w:hAnsiTheme="majorHAnsi"/>
          <w:b/>
          <w:bCs/>
          <w:color w:val="002060"/>
          <w:sz w:val="72"/>
          <w:szCs w:val="72"/>
        </w:rPr>
      </w:pPr>
    </w:p>
    <w:p w14:paraId="270568D4" w14:textId="77777777" w:rsidR="00243FDB" w:rsidRPr="00695C09" w:rsidRDefault="00F31EF6">
      <w:pPr>
        <w:ind w:left="360"/>
        <w:rPr>
          <w:sz w:val="28"/>
          <w:szCs w:val="28"/>
        </w:rPr>
      </w:pPr>
      <w:r>
        <w:br w:type="page"/>
      </w:r>
    </w:p>
    <w:p w14:paraId="406425CA" w14:textId="77777777" w:rsidR="00243FDB" w:rsidRPr="00695C09" w:rsidRDefault="00F31EF6">
      <w:pPr>
        <w:ind w:left="360"/>
        <w:rPr>
          <w:sz w:val="28"/>
          <w:szCs w:val="28"/>
        </w:rPr>
      </w:pPr>
      <w:r>
        <w:rPr>
          <w:b/>
          <w:bCs/>
          <w:color w:val="002060"/>
          <w:sz w:val="32"/>
          <w:szCs w:val="32"/>
        </w:rPr>
        <w:lastRenderedPageBreak/>
        <w:t>Contents</w:t>
      </w:r>
    </w:p>
    <w:p w14:paraId="2E67B3EF" w14:textId="77777777" w:rsidR="00243FDB" w:rsidRPr="00695C09" w:rsidRDefault="00F31EF6">
      <w:pPr>
        <w:ind w:left="360"/>
        <w:rPr>
          <w:sz w:val="28"/>
          <w:szCs w:val="28"/>
        </w:rPr>
      </w:pPr>
      <w:r>
        <w:rPr>
          <w:sz w:val="28"/>
          <w:szCs w:val="28"/>
        </w:rPr>
        <w:t>1. Policy Statement</w:t>
      </w:r>
    </w:p>
    <w:p w14:paraId="6B04E0CC" w14:textId="77777777" w:rsidR="00243FDB" w:rsidRPr="00695C09" w:rsidRDefault="00F31EF6">
      <w:pPr>
        <w:ind w:left="360"/>
        <w:rPr>
          <w:sz w:val="28"/>
          <w:szCs w:val="28"/>
        </w:rPr>
      </w:pPr>
      <w:r>
        <w:rPr>
          <w:sz w:val="28"/>
          <w:szCs w:val="28"/>
        </w:rPr>
        <w:t>2. Legal Framework</w:t>
      </w:r>
    </w:p>
    <w:p w14:paraId="372048D4" w14:textId="77777777" w:rsidR="00243FDB" w:rsidRPr="00695C09" w:rsidRDefault="00F31EF6">
      <w:pPr>
        <w:ind w:left="360"/>
        <w:rPr>
          <w:sz w:val="28"/>
          <w:szCs w:val="28"/>
        </w:rPr>
      </w:pPr>
      <w:r>
        <w:rPr>
          <w:sz w:val="28"/>
          <w:szCs w:val="28"/>
        </w:rPr>
        <w:t>3. What This Policy Covers</w:t>
      </w:r>
    </w:p>
    <w:p w14:paraId="5C4126B4" w14:textId="77777777" w:rsidR="00243FDB" w:rsidRPr="00695C09" w:rsidRDefault="00F31EF6">
      <w:pPr>
        <w:ind w:left="360"/>
        <w:rPr>
          <w:sz w:val="28"/>
          <w:szCs w:val="28"/>
        </w:rPr>
      </w:pPr>
      <w:r>
        <w:rPr>
          <w:sz w:val="28"/>
          <w:szCs w:val="28"/>
        </w:rPr>
        <w:t>4. Stage 1 — Informal Resolution</w:t>
      </w:r>
    </w:p>
    <w:p w14:paraId="5D0F3783" w14:textId="77777777" w:rsidR="00243FDB" w:rsidRPr="00695C09" w:rsidRDefault="00F31EF6">
      <w:pPr>
        <w:ind w:left="360"/>
        <w:rPr>
          <w:sz w:val="28"/>
          <w:szCs w:val="28"/>
        </w:rPr>
      </w:pPr>
      <w:r>
        <w:rPr>
          <w:sz w:val="28"/>
          <w:szCs w:val="28"/>
        </w:rPr>
        <w:t>5. Stage 2 — Formal Complaint</w:t>
      </w:r>
    </w:p>
    <w:p w14:paraId="15237F9A" w14:textId="77777777" w:rsidR="00243FDB" w:rsidRPr="00695C09" w:rsidRDefault="00F31EF6">
      <w:pPr>
        <w:ind w:left="360"/>
        <w:rPr>
          <w:sz w:val="28"/>
          <w:szCs w:val="28"/>
        </w:rPr>
      </w:pPr>
      <w:r>
        <w:rPr>
          <w:sz w:val="28"/>
          <w:szCs w:val="28"/>
        </w:rPr>
        <w:t>6. Stage 3 — Review</w:t>
      </w:r>
    </w:p>
    <w:p w14:paraId="6FF39697" w14:textId="77777777" w:rsidR="00243FDB" w:rsidRPr="00695C09" w:rsidRDefault="00F31EF6">
      <w:pPr>
        <w:ind w:left="360"/>
        <w:rPr>
          <w:sz w:val="28"/>
          <w:szCs w:val="28"/>
        </w:rPr>
      </w:pPr>
      <w:r>
        <w:rPr>
          <w:sz w:val="28"/>
          <w:szCs w:val="28"/>
        </w:rPr>
        <w:t>7. Referral to External Bodies</w:t>
      </w:r>
    </w:p>
    <w:p w14:paraId="2DCB5E83" w14:textId="77777777" w:rsidR="00243FDB" w:rsidRPr="00695C09" w:rsidRDefault="00F31EF6">
      <w:pPr>
        <w:ind w:left="360"/>
        <w:rPr>
          <w:sz w:val="28"/>
          <w:szCs w:val="28"/>
        </w:rPr>
      </w:pPr>
      <w:r>
        <w:rPr>
          <w:sz w:val="28"/>
          <w:szCs w:val="28"/>
        </w:rPr>
        <w:t>8. Record Keeping</w:t>
      </w:r>
    </w:p>
    <w:p w14:paraId="0850BD64" w14:textId="77777777" w:rsidR="00243FDB" w:rsidRPr="00695C09" w:rsidRDefault="00F31EF6">
      <w:pPr>
        <w:ind w:left="360"/>
        <w:rPr>
          <w:sz w:val="28"/>
          <w:szCs w:val="28"/>
        </w:rPr>
      </w:pPr>
      <w:r>
        <w:rPr>
          <w:sz w:val="28"/>
          <w:szCs w:val="28"/>
        </w:rPr>
        <w:t>9. Monitoring and Review</w:t>
      </w:r>
    </w:p>
    <w:p w14:paraId="38EE3C2C" w14:textId="77777777" w:rsidR="00243FDB" w:rsidRPr="00695C09" w:rsidRDefault="00F31EF6">
      <w:pPr>
        <w:ind w:left="360"/>
        <w:rPr>
          <w:sz w:val="28"/>
          <w:szCs w:val="28"/>
        </w:rPr>
      </w:pPr>
      <w:r>
        <w:rPr>
          <w:sz w:val="28"/>
          <w:szCs w:val="28"/>
        </w:rPr>
        <w:t>10. Related Policies</w:t>
      </w:r>
    </w:p>
    <w:p w14:paraId="480E406A" w14:textId="25C24AFB" w:rsidR="00243FDB" w:rsidRDefault="00F31EF6" w:rsidP="430FBB38">
      <w:pPr>
        <w:pageBreakBefore/>
        <w:spacing w:after="120" w:line="360" w:lineRule="auto"/>
        <w:rPr>
          <w:rFonts w:asciiTheme="majorHAnsi" w:hAnsiTheme="majorHAnsi"/>
          <w:b/>
          <w:bCs/>
          <w:color w:val="002060"/>
          <w:sz w:val="48"/>
          <w:szCs w:val="48"/>
        </w:rPr>
      </w:pPr>
      <w:r>
        <w:rPr>
          <w:rFonts w:asciiTheme="majorHAnsi" w:hAnsiTheme="majorHAnsi"/>
          <w:b/>
          <w:bCs/>
          <w:color w:val="002060"/>
          <w:sz w:val="28"/>
          <w:szCs w:val="28"/>
        </w:rPr>
        <w:lastRenderedPageBreak/>
        <w:t>1. Policy Statement</w:t>
      </w:r>
    </w:p>
    <w:p w14:paraId="0F1EFBE7" w14:textId="77777777" w:rsidR="00243FDB" w:rsidRPr="00695C09" w:rsidRDefault="00F31EF6" w:rsidP="79F240C2">
      <w:pPr>
        <w:ind w:left="360"/>
      </w:pPr>
      <w:r>
        <w:t>The Greenhouse HyFlex Academy is committed to dealing with all complaints promptly, fairly and consistently. The Greenhouse values feedback, including complaints, as an important source of information that helps it improve its provision for young people aged 11 to 19.</w:t>
      </w:r>
    </w:p>
    <w:p w14:paraId="0A37501D" w14:textId="77777777" w:rsidR="00243FDB" w:rsidRPr="00695C09" w:rsidRDefault="00243FDB" w:rsidP="79F240C2">
      <w:pPr>
        <w:ind w:left="360"/>
      </w:pPr>
    </w:p>
    <w:p w14:paraId="6856EC3A" w14:textId="77777777" w:rsidR="00243FDB" w:rsidRDefault="00F31EF6">
      <w:pPr>
        <w:ind w:left="360"/>
        <w:rPr>
          <w:sz w:val="28"/>
          <w:szCs w:val="28"/>
        </w:rPr>
      </w:pPr>
      <w:r>
        <w:t>This policy applies to all complaints received from young people, parents, carers, social workers, commissioning Local Authorities, Virtual School Heads and other professionals or members of the public</w:t>
      </w:r>
      <w:r>
        <w:rPr>
          <w:sz w:val="28"/>
          <w:szCs w:val="28"/>
        </w:rPr>
        <w:t>.</w:t>
      </w:r>
    </w:p>
    <w:p w14:paraId="205F326B" w14:textId="77777777" w:rsidR="009F4466" w:rsidRPr="00695C09" w:rsidRDefault="009F4466">
      <w:pPr>
        <w:ind w:left="360"/>
        <w:rPr>
          <w:sz w:val="28"/>
          <w:szCs w:val="28"/>
        </w:rPr>
      </w:pPr>
    </w:p>
    <w:p w14:paraId="497A6270" w14:textId="25C24AFB" w:rsidR="00243FDB" w:rsidRDefault="00F31EF6" w:rsidP="430FBB38">
      <w:pPr>
        <w:spacing w:after="120" w:line="360" w:lineRule="auto"/>
        <w:rPr>
          <w:rFonts w:asciiTheme="majorHAnsi" w:hAnsiTheme="majorHAnsi"/>
          <w:b/>
          <w:bCs/>
          <w:color w:val="002060"/>
          <w:sz w:val="48"/>
          <w:szCs w:val="48"/>
        </w:rPr>
      </w:pPr>
      <w:r>
        <w:rPr>
          <w:rFonts w:asciiTheme="majorHAnsi" w:hAnsiTheme="majorHAnsi"/>
          <w:b/>
          <w:bCs/>
          <w:color w:val="002060"/>
          <w:sz w:val="28"/>
          <w:szCs w:val="28"/>
        </w:rPr>
        <w:t>2. Legal Framework</w:t>
      </w:r>
    </w:p>
    <w:p w14:paraId="2591CF94" w14:textId="77777777" w:rsidR="00243FDB" w:rsidRPr="009F4466" w:rsidRDefault="00F31EF6">
      <w:pPr>
        <w:ind w:left="360"/>
      </w:pPr>
      <w:r>
        <w:t>This policy has regard to:</w:t>
      </w:r>
    </w:p>
    <w:p w14:paraId="23E9CC7B" w14:textId="77777777" w:rsidR="00243FDB" w:rsidRDefault="00F31EF6">
      <w:pPr>
        <w:pStyle w:val="ListParagraph"/>
        <w:numPr>
          <w:ilvl w:val="0"/>
          <w:numId w:val="8"/>
        </w:numPr>
      </w:pPr>
      <w:r>
        <w:t>Education Act 2002</w:t>
      </w:r>
    </w:p>
    <w:p w14:paraId="4AA1BB97" w14:textId="77777777" w:rsidR="00243FDB" w:rsidRDefault="00F31EF6">
      <w:pPr>
        <w:pStyle w:val="ListParagraph"/>
        <w:numPr>
          <w:ilvl w:val="0"/>
          <w:numId w:val="8"/>
        </w:numPr>
      </w:pPr>
      <w:r>
        <w:t>DfE Non-School Alternative Provision Voluntary National Standards (August 2025)</w:t>
      </w:r>
    </w:p>
    <w:p w14:paraId="650FCA55" w14:textId="77777777" w:rsidR="00243FDB" w:rsidRDefault="00F31EF6">
      <w:pPr>
        <w:pStyle w:val="ListParagraph"/>
        <w:numPr>
          <w:ilvl w:val="0"/>
          <w:numId w:val="8"/>
        </w:numPr>
      </w:pPr>
      <w:r>
        <w:t>Children Act 1989 and 2004</w:t>
      </w:r>
    </w:p>
    <w:p w14:paraId="17B17CF5" w14:textId="77777777" w:rsidR="00243FDB" w:rsidRDefault="00F31EF6">
      <w:pPr>
        <w:pStyle w:val="ListParagraph"/>
        <w:numPr>
          <w:ilvl w:val="0"/>
          <w:numId w:val="8"/>
        </w:numPr>
      </w:pPr>
      <w:r>
        <w:t>Equality Act 2010</w:t>
      </w:r>
    </w:p>
    <w:p w14:paraId="7BC979C7" w14:textId="77777777" w:rsidR="00243FDB" w:rsidRDefault="00F31EF6">
      <w:pPr>
        <w:pStyle w:val="ListParagraph"/>
        <w:numPr>
          <w:ilvl w:val="0"/>
          <w:numId w:val="8"/>
        </w:numPr>
      </w:pPr>
      <w:r>
        <w:t>Data Protection Act 2018 / UK GDPR</w:t>
      </w:r>
    </w:p>
    <w:p w14:paraId="38E41876" w14:textId="77777777" w:rsidR="009F4466" w:rsidRDefault="009F4466" w:rsidP="009F4466">
      <w:pPr>
        <w:pStyle w:val="ListParagraph"/>
      </w:pPr>
    </w:p>
    <w:p w14:paraId="6E79E293" w14:textId="25C24AFB" w:rsidR="00243FDB" w:rsidRDefault="00F31EF6" w:rsidP="430FBB38">
      <w:pPr>
        <w:spacing w:after="120" w:line="360" w:lineRule="auto"/>
        <w:rPr>
          <w:rFonts w:asciiTheme="majorHAnsi" w:hAnsiTheme="majorHAnsi"/>
          <w:b/>
          <w:bCs/>
          <w:color w:val="002060"/>
          <w:sz w:val="48"/>
          <w:szCs w:val="48"/>
        </w:rPr>
      </w:pPr>
      <w:r>
        <w:rPr>
          <w:rFonts w:asciiTheme="majorHAnsi" w:hAnsiTheme="majorHAnsi"/>
          <w:b/>
          <w:bCs/>
          <w:color w:val="002060"/>
          <w:sz w:val="28"/>
          <w:szCs w:val="28"/>
        </w:rPr>
        <w:t>3. What This Policy Covers</w:t>
      </w:r>
    </w:p>
    <w:p w14:paraId="035FDF61" w14:textId="77777777" w:rsidR="00243FDB" w:rsidRPr="009F4466" w:rsidRDefault="00F31EF6">
      <w:pPr>
        <w:ind w:left="360"/>
      </w:pPr>
      <w:r>
        <w:t>This policy covers complaints about any aspect of The Greenhouse's provision, including:</w:t>
      </w:r>
    </w:p>
    <w:p w14:paraId="45473540" w14:textId="77777777" w:rsidR="00243FDB" w:rsidRDefault="00F31EF6">
      <w:pPr>
        <w:pStyle w:val="ListParagraph"/>
        <w:numPr>
          <w:ilvl w:val="0"/>
          <w:numId w:val="8"/>
        </w:numPr>
      </w:pPr>
      <w:r>
        <w:t>The quality of education or support provided</w:t>
      </w:r>
    </w:p>
    <w:p w14:paraId="69BD33AC" w14:textId="77777777" w:rsidR="00243FDB" w:rsidRDefault="00F31EF6">
      <w:pPr>
        <w:pStyle w:val="ListParagraph"/>
        <w:numPr>
          <w:ilvl w:val="0"/>
          <w:numId w:val="8"/>
        </w:numPr>
      </w:pPr>
      <w:r>
        <w:t>The welfare or treatment of a young person</w:t>
      </w:r>
    </w:p>
    <w:p w14:paraId="5CDDB8A3" w14:textId="77777777" w:rsidR="00243FDB" w:rsidRDefault="00F31EF6">
      <w:pPr>
        <w:pStyle w:val="ListParagraph"/>
        <w:numPr>
          <w:ilvl w:val="0"/>
          <w:numId w:val="8"/>
        </w:numPr>
      </w:pPr>
      <w:r>
        <w:t>The conduct of a member of staff</w:t>
      </w:r>
    </w:p>
    <w:p w14:paraId="5F266ED9" w14:textId="77777777" w:rsidR="00243FDB" w:rsidRDefault="00F31EF6">
      <w:pPr>
        <w:pStyle w:val="ListParagraph"/>
        <w:numPr>
          <w:ilvl w:val="0"/>
          <w:numId w:val="8"/>
        </w:numPr>
      </w:pPr>
      <w:r>
        <w:t>Decisions made about a young person's placement or learning plan</w:t>
      </w:r>
    </w:p>
    <w:p w14:paraId="292AD8A6" w14:textId="77777777" w:rsidR="00243FDB" w:rsidRDefault="00F31EF6">
      <w:pPr>
        <w:pStyle w:val="ListParagraph"/>
        <w:numPr>
          <w:ilvl w:val="0"/>
          <w:numId w:val="8"/>
        </w:numPr>
      </w:pPr>
      <w:r>
        <w:t>The handling of a safeguarding concern</w:t>
      </w:r>
    </w:p>
    <w:p w14:paraId="5DAB6C7B" w14:textId="77777777" w:rsidR="00243FDB" w:rsidRPr="00695C09" w:rsidRDefault="00243FDB">
      <w:pPr>
        <w:ind w:left="360"/>
        <w:rPr>
          <w:sz w:val="28"/>
          <w:szCs w:val="28"/>
        </w:rPr>
      </w:pPr>
    </w:p>
    <w:p w14:paraId="2737ADAE" w14:textId="77777777" w:rsidR="00243FDB" w:rsidRDefault="00F31EF6">
      <w:pPr>
        <w:ind w:left="360"/>
      </w:pPr>
      <w:r>
        <w:t>This policy does not cover complaints that are subject to other statutory procedures, such as allegations of abuse against a member of staff (which are managed under the Safeguarding and Child Protection Policy and referred to the LADO where applicable).</w:t>
      </w:r>
    </w:p>
    <w:p w14:paraId="5787D47D" w14:textId="77777777" w:rsidR="00A441DD" w:rsidRPr="009F4466" w:rsidRDefault="00A441DD">
      <w:pPr>
        <w:ind w:left="360"/>
      </w:pPr>
    </w:p>
    <w:p w14:paraId="73D8AB25" w14:textId="25C24AFB" w:rsidR="00243FDB" w:rsidRDefault="00F31EF6" w:rsidP="430FBB38">
      <w:pPr>
        <w:spacing w:after="120" w:line="360" w:lineRule="auto"/>
        <w:rPr>
          <w:rFonts w:asciiTheme="majorHAnsi" w:hAnsiTheme="majorHAnsi"/>
          <w:b/>
          <w:bCs/>
          <w:color w:val="002060"/>
          <w:sz w:val="48"/>
          <w:szCs w:val="48"/>
        </w:rPr>
      </w:pPr>
      <w:r>
        <w:rPr>
          <w:rFonts w:asciiTheme="majorHAnsi" w:hAnsiTheme="majorHAnsi"/>
          <w:b/>
          <w:bCs/>
          <w:color w:val="002060"/>
          <w:sz w:val="28"/>
          <w:szCs w:val="28"/>
        </w:rPr>
        <w:lastRenderedPageBreak/>
        <w:t>4. Stage 1 — Informal Resolution</w:t>
      </w:r>
    </w:p>
    <w:p w14:paraId="02EB378F" w14:textId="2E729921" w:rsidR="00243FDB" w:rsidRPr="00A441DD" w:rsidRDefault="00F31EF6" w:rsidP="00A441DD">
      <w:pPr>
        <w:ind w:left="360"/>
      </w:pPr>
      <w:r>
        <w:t>Where possible, The Greenhouse encourages complaints to be raised informally in the first instance. The complainant should speak directly with the relevant member of staff or the Headteacher. The Greenhouse aims to resolve all informal complaints within five working days.</w:t>
      </w:r>
    </w:p>
    <w:p w14:paraId="43ED84E2" w14:textId="77777777" w:rsidR="00243FDB" w:rsidRDefault="00F31EF6">
      <w:pPr>
        <w:ind w:left="360"/>
      </w:pPr>
      <w:r>
        <w:t>If the complainant is not satisfied with the informal response, or does not wish to pursue the complaint informally, they may move to Stage 2.</w:t>
      </w:r>
    </w:p>
    <w:p w14:paraId="73015E02" w14:textId="77777777" w:rsidR="00784C16" w:rsidRPr="00A441DD" w:rsidRDefault="00784C16">
      <w:pPr>
        <w:ind w:left="360"/>
      </w:pPr>
    </w:p>
    <w:p w14:paraId="5FE998CD" w14:textId="25C24AFB" w:rsidR="00243FDB" w:rsidRDefault="00F31EF6" w:rsidP="430FBB38">
      <w:pPr>
        <w:spacing w:after="120" w:line="360" w:lineRule="auto"/>
        <w:rPr>
          <w:rFonts w:asciiTheme="majorHAnsi" w:hAnsiTheme="majorHAnsi"/>
          <w:b/>
          <w:bCs/>
          <w:color w:val="002060"/>
          <w:sz w:val="48"/>
          <w:szCs w:val="48"/>
        </w:rPr>
      </w:pPr>
      <w:r>
        <w:rPr>
          <w:rFonts w:asciiTheme="majorHAnsi" w:hAnsiTheme="majorHAnsi"/>
          <w:b/>
          <w:bCs/>
          <w:color w:val="002060"/>
          <w:sz w:val="28"/>
          <w:szCs w:val="28"/>
        </w:rPr>
        <w:t>5. Stage 2 — Formal Complaint</w:t>
      </w:r>
    </w:p>
    <w:p w14:paraId="1162EBAF" w14:textId="77777777" w:rsidR="00243FDB" w:rsidRPr="00784C16" w:rsidRDefault="00F31EF6">
      <w:pPr>
        <w:ind w:left="360"/>
      </w:pPr>
      <w:r>
        <w:t>A formal written complaint should be addressed to the Headteacher. On receipt of a formal complaint, the Headteacher will:</w:t>
      </w:r>
    </w:p>
    <w:p w14:paraId="6E53CFF0" w14:textId="77777777" w:rsidR="00243FDB" w:rsidRDefault="00F31EF6">
      <w:pPr>
        <w:pStyle w:val="ListParagraph"/>
        <w:numPr>
          <w:ilvl w:val="0"/>
          <w:numId w:val="8"/>
        </w:numPr>
      </w:pPr>
      <w:r>
        <w:t>Acknowledge the complaint in writing within three working days</w:t>
      </w:r>
    </w:p>
    <w:p w14:paraId="77606992" w14:textId="77777777" w:rsidR="00243FDB" w:rsidRDefault="00F31EF6">
      <w:pPr>
        <w:pStyle w:val="ListParagraph"/>
        <w:numPr>
          <w:ilvl w:val="0"/>
          <w:numId w:val="8"/>
        </w:numPr>
      </w:pPr>
      <w:r>
        <w:t>Investigate the complaint thoroughly and impartially</w:t>
      </w:r>
    </w:p>
    <w:p w14:paraId="6A05A809" w14:textId="4EC781D4" w:rsidR="00243FDB" w:rsidRPr="00784C16" w:rsidRDefault="00F31EF6" w:rsidP="00784C16">
      <w:pPr>
        <w:pStyle w:val="ListParagraph"/>
        <w:numPr>
          <w:ilvl w:val="0"/>
          <w:numId w:val="8"/>
        </w:numPr>
      </w:pPr>
      <w:r>
        <w:t>Provide a written response within fifteen working days of receipt</w:t>
      </w:r>
    </w:p>
    <w:p w14:paraId="660E7A4A" w14:textId="324D180F" w:rsidR="00243FDB" w:rsidRDefault="00F31EF6">
      <w:pPr>
        <w:ind w:left="360"/>
      </w:pPr>
      <w:r>
        <w:t>Where the complaint is about the Headteacher, it should be addressed to the Business Director.</w:t>
      </w:r>
    </w:p>
    <w:p w14:paraId="7E2DD9B1" w14:textId="77777777" w:rsidR="00784C16" w:rsidRPr="00784C16" w:rsidRDefault="00784C16">
      <w:pPr>
        <w:ind w:left="360"/>
      </w:pPr>
    </w:p>
    <w:p w14:paraId="766343B4" w14:textId="25C24AFB" w:rsidR="00243FDB" w:rsidRDefault="00F31EF6" w:rsidP="430FBB38">
      <w:pPr>
        <w:spacing w:after="120" w:line="360" w:lineRule="auto"/>
        <w:rPr>
          <w:rFonts w:asciiTheme="majorHAnsi" w:hAnsiTheme="majorHAnsi"/>
          <w:b/>
          <w:bCs/>
          <w:color w:val="002060"/>
          <w:sz w:val="48"/>
          <w:szCs w:val="48"/>
        </w:rPr>
      </w:pPr>
      <w:r>
        <w:rPr>
          <w:rFonts w:asciiTheme="majorHAnsi" w:hAnsiTheme="majorHAnsi"/>
          <w:b/>
          <w:bCs/>
          <w:color w:val="002060"/>
          <w:sz w:val="28"/>
          <w:szCs w:val="28"/>
        </w:rPr>
        <w:t>6. Stage 3 — Review</w:t>
      </w:r>
    </w:p>
    <w:p w14:paraId="7E345F6E" w14:textId="77777777" w:rsidR="00243FDB" w:rsidRDefault="00F31EF6">
      <w:pPr>
        <w:ind w:left="360"/>
      </w:pPr>
      <w:r>
        <w:t>If the complainant remains dissatisfied following the Stage 2 response, they may request a review. The review will be conducted by the Business Director or an independent person appointed by the Business Director. The review outcome will be communicated in writing within fifteen working days of the request.</w:t>
      </w:r>
    </w:p>
    <w:p w14:paraId="5EAB8C47" w14:textId="77777777" w:rsidR="000F0FBF" w:rsidRPr="00784C16" w:rsidRDefault="000F0FBF">
      <w:pPr>
        <w:ind w:left="360"/>
      </w:pPr>
    </w:p>
    <w:p w14:paraId="6C854F24" w14:textId="25C24AFB" w:rsidR="00243FDB" w:rsidRDefault="00F31EF6" w:rsidP="430FBB38">
      <w:pPr>
        <w:spacing w:after="120" w:line="360" w:lineRule="auto"/>
        <w:rPr>
          <w:rFonts w:asciiTheme="majorHAnsi" w:hAnsiTheme="majorHAnsi"/>
          <w:b/>
          <w:bCs/>
          <w:color w:val="002060"/>
          <w:sz w:val="48"/>
          <w:szCs w:val="48"/>
        </w:rPr>
      </w:pPr>
      <w:r>
        <w:rPr>
          <w:rFonts w:asciiTheme="majorHAnsi" w:hAnsiTheme="majorHAnsi"/>
          <w:b/>
          <w:bCs/>
          <w:color w:val="002060"/>
          <w:sz w:val="28"/>
          <w:szCs w:val="28"/>
        </w:rPr>
        <w:t>7. Referral to External Bodies</w:t>
      </w:r>
    </w:p>
    <w:p w14:paraId="6B063CFC" w14:textId="77777777" w:rsidR="00243FDB" w:rsidRDefault="00F31EF6">
      <w:pPr>
        <w:ind w:left="360"/>
      </w:pPr>
      <w:r>
        <w:t>If a complainant remains dissatisfied after completing all stages of this procedure, they may refer their complaint to the relevant external body. For complaints relating to the welfare or education of a looked-after child, the complainant may also contact the placing Local Authority.</w:t>
      </w:r>
    </w:p>
    <w:p w14:paraId="0F6C6E1B" w14:textId="77777777" w:rsidR="000F0FBF" w:rsidRDefault="000F0FBF">
      <w:pPr>
        <w:ind w:left="360"/>
      </w:pPr>
    </w:p>
    <w:p w14:paraId="29FBEAE1" w14:textId="77777777" w:rsidR="000F0FBF" w:rsidRDefault="000F0FBF">
      <w:pPr>
        <w:ind w:left="360"/>
      </w:pPr>
    </w:p>
    <w:p w14:paraId="6BEFB425" w14:textId="77777777" w:rsidR="000F0FBF" w:rsidRDefault="000F0FBF">
      <w:pPr>
        <w:ind w:left="360"/>
      </w:pPr>
    </w:p>
    <w:p w14:paraId="31048813" w14:textId="77777777" w:rsidR="000F0FBF" w:rsidRPr="000F0FBF" w:rsidRDefault="000F0FBF">
      <w:pPr>
        <w:ind w:left="360"/>
      </w:pPr>
    </w:p>
    <w:p w14:paraId="07282D83" w14:textId="25C24AFB" w:rsidR="00243FDB" w:rsidRDefault="00F31EF6" w:rsidP="430FBB38">
      <w:pPr>
        <w:spacing w:after="120" w:line="360" w:lineRule="auto"/>
        <w:rPr>
          <w:rFonts w:asciiTheme="majorHAnsi" w:hAnsiTheme="majorHAnsi"/>
          <w:b/>
          <w:bCs/>
          <w:color w:val="002060"/>
          <w:sz w:val="48"/>
          <w:szCs w:val="48"/>
        </w:rPr>
      </w:pPr>
      <w:r>
        <w:rPr>
          <w:rFonts w:asciiTheme="majorHAnsi" w:hAnsiTheme="majorHAnsi"/>
          <w:b/>
          <w:bCs/>
          <w:color w:val="002060"/>
          <w:sz w:val="28"/>
          <w:szCs w:val="28"/>
        </w:rPr>
        <w:lastRenderedPageBreak/>
        <w:t>8. Record Keeping</w:t>
      </w:r>
    </w:p>
    <w:p w14:paraId="19C8F6A6" w14:textId="77777777" w:rsidR="00243FDB" w:rsidRDefault="00F31EF6">
      <w:pPr>
        <w:ind w:left="360"/>
      </w:pPr>
      <w:r>
        <w:t>All complaints and their outcomes are recorded and retained securely in line with the Archiving, Disposal and Storage of Records Policy. Records are used to identify patterns and inform continuous improvement.</w:t>
      </w:r>
    </w:p>
    <w:p w14:paraId="7ED9725B" w14:textId="77777777" w:rsidR="00123A67" w:rsidRPr="000F0FBF" w:rsidRDefault="00123A67">
      <w:pPr>
        <w:ind w:left="360"/>
      </w:pPr>
    </w:p>
    <w:p w14:paraId="299C54E0" w14:textId="25C24AFB" w:rsidR="00243FDB" w:rsidRDefault="00F31EF6" w:rsidP="430FBB38">
      <w:pPr>
        <w:spacing w:after="120" w:line="360" w:lineRule="auto"/>
        <w:rPr>
          <w:rFonts w:asciiTheme="majorHAnsi" w:hAnsiTheme="majorHAnsi"/>
          <w:b/>
          <w:bCs/>
          <w:color w:val="002060"/>
          <w:sz w:val="48"/>
          <w:szCs w:val="48"/>
        </w:rPr>
      </w:pPr>
      <w:r>
        <w:rPr>
          <w:rFonts w:asciiTheme="majorHAnsi" w:hAnsiTheme="majorHAnsi"/>
          <w:b/>
          <w:bCs/>
          <w:color w:val="002060"/>
          <w:sz w:val="28"/>
          <w:szCs w:val="28"/>
        </w:rPr>
        <w:t>9. Monitoring and Review</w:t>
      </w:r>
    </w:p>
    <w:p w14:paraId="40C3F44A" w14:textId="77777777" w:rsidR="00243FDB" w:rsidRDefault="00F31EF6">
      <w:pPr>
        <w:ind w:left="360"/>
      </w:pPr>
      <w:r>
        <w:t>The Headteacher reviews complaint records at least termly. This policy is reviewed annually and approved by the Business Director.</w:t>
      </w:r>
    </w:p>
    <w:p w14:paraId="199B00EA" w14:textId="77777777" w:rsidR="00123A67" w:rsidRPr="00123A67" w:rsidRDefault="00123A67">
      <w:pPr>
        <w:ind w:left="360"/>
      </w:pPr>
    </w:p>
    <w:p w14:paraId="552CF8D5" w14:textId="25C24AFB" w:rsidR="00243FDB" w:rsidRDefault="00F31EF6" w:rsidP="430FBB38">
      <w:pPr>
        <w:spacing w:after="120" w:line="360" w:lineRule="auto"/>
        <w:rPr>
          <w:rFonts w:asciiTheme="majorHAnsi" w:hAnsiTheme="majorHAnsi"/>
          <w:b/>
          <w:bCs/>
          <w:color w:val="002060"/>
          <w:sz w:val="48"/>
          <w:szCs w:val="48"/>
        </w:rPr>
      </w:pPr>
      <w:r>
        <w:rPr>
          <w:rFonts w:asciiTheme="majorHAnsi" w:hAnsiTheme="majorHAnsi"/>
          <w:b/>
          <w:bCs/>
          <w:color w:val="002060"/>
          <w:sz w:val="28"/>
          <w:szCs w:val="28"/>
        </w:rPr>
        <w:t>10. Related Policies</w:t>
      </w:r>
    </w:p>
    <w:p w14:paraId="74F51C7F" w14:textId="77777777" w:rsidR="00243FDB" w:rsidRPr="00123A67" w:rsidRDefault="00F31EF6">
      <w:pPr>
        <w:ind w:left="360"/>
      </w:pPr>
      <w:r>
        <w:t>This policy must be read in conjunction with the following related policies:</w:t>
      </w:r>
    </w:p>
    <w:p w14:paraId="6EE2CF24" w14:textId="77777777" w:rsidR="00243FDB" w:rsidRDefault="00F31EF6">
      <w:pPr>
        <w:pStyle w:val="ListParagraph"/>
        <w:numPr>
          <w:ilvl w:val="0"/>
          <w:numId w:val="8"/>
        </w:numPr>
      </w:pPr>
      <w:r>
        <w:t>Safeguarding and Child Protection Policy</w:t>
      </w:r>
    </w:p>
    <w:p w14:paraId="386BFC6B" w14:textId="77777777" w:rsidR="00243FDB" w:rsidRDefault="00F31EF6">
      <w:pPr>
        <w:pStyle w:val="ListParagraph"/>
        <w:numPr>
          <w:ilvl w:val="0"/>
          <w:numId w:val="8"/>
        </w:numPr>
      </w:pPr>
      <w:r>
        <w:t>Whistleblowing Policy</w:t>
      </w:r>
    </w:p>
    <w:p w14:paraId="2478F21B" w14:textId="77777777" w:rsidR="00243FDB" w:rsidRDefault="00F31EF6">
      <w:pPr>
        <w:pStyle w:val="ListParagraph"/>
        <w:numPr>
          <w:ilvl w:val="0"/>
          <w:numId w:val="8"/>
        </w:numPr>
      </w:pPr>
      <w:r>
        <w:t>Archiving, Disposal and Storage of Records Policy</w:t>
      </w:r>
    </w:p>
    <w:p w14:paraId="5B9E5DD2" w14:textId="77777777" w:rsidR="00243FDB" w:rsidRDefault="00F31EF6">
      <w:pPr>
        <w:pStyle w:val="ListParagraph"/>
        <w:numPr>
          <w:ilvl w:val="0"/>
          <w:numId w:val="8"/>
        </w:numPr>
      </w:pPr>
      <w:r>
        <w:t>Quality Assurance Policy</w:t>
      </w:r>
    </w:p>
    <w:p w14:paraId="5A39BBE3" w14:textId="77777777" w:rsidR="00243FDB" w:rsidRPr="00695C09" w:rsidRDefault="00243FDB">
      <w:pPr>
        <w:ind w:left="360"/>
        <w:rPr>
          <w:sz w:val="28"/>
          <w:szCs w:val="28"/>
        </w:rPr>
      </w:pPr>
    </w:p>
    <w:p w14:paraId="67125F4C" w14:textId="77777777" w:rsidR="00244F36" w:rsidRPr="00244F36" w:rsidRDefault="00244F36" w:rsidP="00244F36">
      <w:pPr>
        <w:ind w:left="360"/>
        <w:rPr>
          <w:sz w:val="28"/>
          <w:szCs w:val="28"/>
        </w:rPr>
      </w:pPr>
      <w:r>
        <w:rPr>
          <w:b/>
          <w:bCs/>
          <w:sz w:val="28"/>
          <w:szCs w:val="28"/>
          <w:lang w:val="en"/>
        </w:rPr>
        <w:t>This policy has been written by Fiona Conde (Headteacher) and approved</w:t>
      </w:r>
      <w:r>
        <w:rPr>
          <w:rFonts w:ascii="Arial" w:hAnsi="Arial" w:cs="Arial"/>
          <w:b/>
          <w:bCs/>
          <w:sz w:val="28"/>
          <w:szCs w:val="28"/>
          <w:lang w:val="en"/>
        </w:rPr>
        <w:t> </w:t>
      </w:r>
      <w:r>
        <w:rPr>
          <w:b/>
          <w:bCs/>
          <w:sz w:val="28"/>
          <w:szCs w:val="28"/>
          <w:lang w:val="en"/>
        </w:rPr>
        <w:t>by</w:t>
      </w:r>
      <w:r>
        <w:rPr>
          <w:rFonts w:ascii="Arial" w:hAnsi="Arial" w:cs="Arial"/>
          <w:b/>
          <w:bCs/>
          <w:sz w:val="28"/>
          <w:szCs w:val="28"/>
          <w:lang w:val="en"/>
        </w:rPr>
        <w:t> </w:t>
      </w:r>
      <w:r>
        <w:rPr>
          <w:b/>
          <w:bCs/>
          <w:sz w:val="28"/>
          <w:szCs w:val="28"/>
          <w:lang w:val="en"/>
        </w:rPr>
        <w:t>Jonathon Simpson</w:t>
      </w:r>
      <w:r>
        <w:rPr>
          <w:rFonts w:ascii="Arial" w:hAnsi="Arial" w:cs="Arial"/>
          <w:b/>
          <w:bCs/>
          <w:sz w:val="28"/>
          <w:szCs w:val="28"/>
          <w:lang w:val="en"/>
        </w:rPr>
        <w:t> </w:t>
      </w:r>
      <w:r>
        <w:rPr>
          <w:b/>
          <w:bCs/>
          <w:sz w:val="28"/>
          <w:szCs w:val="28"/>
          <w:lang w:val="en"/>
        </w:rPr>
        <w:t>(Business Director).</w:t>
      </w:r>
      <w:r>
        <w:rPr>
          <w:rFonts w:ascii="Arial" w:hAnsi="Arial" w:cs="Arial"/>
          <w:b/>
          <w:bCs/>
          <w:sz w:val="28"/>
          <w:szCs w:val="28"/>
        </w:rPr>
        <w:t> </w:t>
      </w:r>
      <w:r>
        <w:rPr>
          <w:sz w:val="28"/>
          <w:szCs w:val="28"/>
        </w:rPr>
        <w:t> </w:t>
      </w:r>
    </w:p>
    <w:p w14:paraId="46DEDA00" w14:textId="6E1E0B06" w:rsidR="00244F36" w:rsidRPr="00244F36" w:rsidRDefault="00244F36" w:rsidP="00244F36">
      <w:pPr>
        <w:ind w:left="360"/>
        <w:rPr>
          <w:sz w:val="28"/>
          <w:szCs w:val="28"/>
        </w:rPr>
      </w:pPr>
      <w:r>
        <w:rPr>
          <w:noProof/>
          <w:sz w:val="28"/>
          <w:szCs w:val="28"/>
        </w:rPr>
        <w:drawing>
          <wp:inline distT="0" distB="0" distL="0" distR="0" wp14:anchorId="100D3E0E" wp14:editId="2249390A">
            <wp:extent cx="1828800" cy="571500"/>
            <wp:effectExtent l="0" t="0" r="0" b="0"/>
            <wp:docPr id="76455917" name="Picture 2" descr="A black background with white spots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black background with white spots  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571500"/>
                    </a:xfrm>
                    <a:prstGeom prst="rect">
                      <a:avLst/>
                    </a:prstGeom>
                    <a:noFill/>
                    <a:ln>
                      <a:noFill/>
                    </a:ln>
                  </pic:spPr>
                </pic:pic>
              </a:graphicData>
            </a:graphic>
          </wp:inline>
        </w:drawing>
      </w:r>
      <w:r>
        <w:rPr>
          <w:rFonts w:ascii="Arial" w:hAnsi="Arial" w:cs="Arial"/>
          <w:b/>
          <w:bCs/>
          <w:sz w:val="28"/>
          <w:szCs w:val="28"/>
        </w:rPr>
        <w:t>  </w:t>
      </w:r>
      <w:r>
        <w:rPr>
          <w:sz w:val="28"/>
          <w:szCs w:val="28"/>
        </w:rPr>
        <w:t> </w:t>
      </w:r>
    </w:p>
    <w:p w14:paraId="6E5E0159" w14:textId="77777777" w:rsidR="00244F36" w:rsidRPr="00244F36" w:rsidRDefault="00244F36" w:rsidP="00244F36">
      <w:pPr>
        <w:ind w:left="360"/>
        <w:rPr>
          <w:sz w:val="28"/>
          <w:szCs w:val="28"/>
        </w:rPr>
      </w:pPr>
      <w:r>
        <w:rPr>
          <w:b/>
          <w:bCs/>
          <w:sz w:val="28"/>
          <w:szCs w:val="28"/>
          <w:lang w:val="en"/>
        </w:rPr>
        <w:t>Approval Date:</w:t>
      </w:r>
      <w:r>
        <w:rPr>
          <w:rFonts w:ascii="Arial" w:hAnsi="Arial" w:cs="Arial"/>
          <w:b/>
          <w:bCs/>
          <w:sz w:val="28"/>
          <w:szCs w:val="28"/>
          <w:lang w:val="en"/>
        </w:rPr>
        <w:t> </w:t>
      </w:r>
      <w:r>
        <w:rPr>
          <w:b/>
          <w:bCs/>
          <w:sz w:val="28"/>
          <w:szCs w:val="28"/>
          <w:lang w:val="en"/>
        </w:rPr>
        <w:t>June</w:t>
      </w:r>
      <w:r>
        <w:rPr>
          <w:rFonts w:ascii="Arial" w:hAnsi="Arial" w:cs="Arial"/>
          <w:b/>
          <w:bCs/>
          <w:sz w:val="28"/>
          <w:szCs w:val="28"/>
          <w:lang w:val="en"/>
        </w:rPr>
        <w:t> </w:t>
      </w:r>
      <w:r>
        <w:rPr>
          <w:b/>
          <w:bCs/>
          <w:sz w:val="28"/>
          <w:szCs w:val="28"/>
          <w:lang w:val="en"/>
        </w:rPr>
        <w:t>2026</w:t>
      </w:r>
      <w:r>
        <w:rPr>
          <w:sz w:val="28"/>
          <w:szCs w:val="28"/>
        </w:rPr>
        <w:t> </w:t>
      </w:r>
    </w:p>
    <w:p w14:paraId="27669AE3" w14:textId="77777777" w:rsidR="00244F36" w:rsidRPr="00244F36" w:rsidRDefault="00244F36" w:rsidP="00244F36">
      <w:pPr>
        <w:ind w:left="360"/>
        <w:rPr>
          <w:sz w:val="28"/>
          <w:szCs w:val="28"/>
        </w:rPr>
      </w:pPr>
      <w:r>
        <w:rPr>
          <w:b/>
          <w:bCs/>
          <w:sz w:val="28"/>
          <w:szCs w:val="28"/>
          <w:lang w:val="en"/>
        </w:rPr>
        <w:t>Review Date:</w:t>
      </w:r>
      <w:r>
        <w:rPr>
          <w:rFonts w:ascii="Arial" w:hAnsi="Arial" w:cs="Arial"/>
          <w:b/>
          <w:bCs/>
          <w:sz w:val="28"/>
          <w:szCs w:val="28"/>
          <w:lang w:val="en"/>
        </w:rPr>
        <w:t> </w:t>
      </w:r>
      <w:r>
        <w:rPr>
          <w:b/>
          <w:bCs/>
          <w:sz w:val="28"/>
          <w:szCs w:val="28"/>
          <w:lang w:val="en"/>
        </w:rPr>
        <w:t>June</w:t>
      </w:r>
      <w:r>
        <w:rPr>
          <w:rFonts w:ascii="Arial" w:hAnsi="Arial" w:cs="Arial"/>
          <w:b/>
          <w:bCs/>
          <w:sz w:val="28"/>
          <w:szCs w:val="28"/>
          <w:lang w:val="en"/>
        </w:rPr>
        <w:t> </w:t>
      </w:r>
      <w:r>
        <w:rPr>
          <w:b/>
          <w:bCs/>
          <w:sz w:val="28"/>
          <w:szCs w:val="28"/>
          <w:lang w:val="en"/>
        </w:rPr>
        <w:t>2027</w:t>
      </w:r>
      <w:r>
        <w:rPr>
          <w:rFonts w:ascii="Arial" w:hAnsi="Arial" w:cs="Arial"/>
          <w:b/>
          <w:bCs/>
          <w:sz w:val="28"/>
          <w:szCs w:val="28"/>
        </w:rPr>
        <w:t>  </w:t>
      </w:r>
      <w:r>
        <w:rPr>
          <w:sz w:val="28"/>
          <w:szCs w:val="28"/>
        </w:rPr>
        <w:t> </w:t>
      </w:r>
    </w:p>
    <w:sectPr w:rsidR="00244F36" w:rsidRPr="00244F36">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276" w:left="1440" w:header="708" w:footer="708"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910E4" w14:textId="77777777" w:rsidR="00A06688" w:rsidRDefault="00A06688">
      <w:pPr>
        <w:spacing w:after="0" w:line="240" w:lineRule="auto"/>
      </w:pPr>
      <w:r>
        <w:separator/>
      </w:r>
    </w:p>
  </w:endnote>
  <w:endnote w:type="continuationSeparator" w:id="0">
    <w:p w14:paraId="06E723E5" w14:textId="77777777" w:rsidR="00A06688" w:rsidRDefault="00A066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iberation Sans">
    <w:altName w:val="Arial"/>
    <w:charset w:val="01"/>
    <w:family w:val="swiss"/>
    <w:pitch w:val="variable"/>
  </w:font>
  <w:font w:name="Noto Sans CJK SC">
    <w:panose1 w:val="00000000000000000000"/>
    <w:charset w:val="00"/>
    <w:family w:val="roman"/>
    <w:notTrueType/>
    <w:pitch w:val="default"/>
  </w:font>
  <w:font w:name="FreeSan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0D11C" w14:textId="77777777" w:rsidR="00243FDB" w:rsidRDefault="00243F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2664059"/>
      <w:docPartObj>
        <w:docPartGallery w:val="Page Numbers (Bottom of Page)"/>
        <w:docPartUnique/>
      </w:docPartObj>
    </w:sdtPr>
    <w:sdtEndPr/>
    <w:sdtContent>
      <w:p w14:paraId="0EF21F62" w14:textId="77777777" w:rsidR="00243FDB" w:rsidRDefault="00F31EF6">
        <w:pPr>
          <w:pStyle w:val="Footer"/>
          <w:jc w:val="right"/>
        </w:pPr>
        <w:r>
          <w:fldChar w:fldCharType="begin"/>
        </w:r>
        <w:r>
          <w:instrText xml:space="preserve"> PAGE </w:instrText>
        </w:r>
        <w:r>
          <w:fldChar w:fldCharType="separate"/>
        </w:r>
        <w:r>
          <w:t>12</w:t>
        </w:r>
        <w:r>
          <w:fldChar w:fldCharType="end"/>
        </w:r>
      </w:p>
    </w:sdtContent>
  </w:sdt>
  <w:p w14:paraId="79AAA8EC" w14:textId="77777777" w:rsidR="00243FDB" w:rsidRDefault="00243F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2693061"/>
      <w:docPartObj>
        <w:docPartGallery w:val="Page Numbers (Bottom of Page)"/>
        <w:docPartUnique/>
      </w:docPartObj>
    </w:sdtPr>
    <w:sdtEndPr/>
    <w:sdtContent>
      <w:p w14:paraId="45D7E90C" w14:textId="77777777" w:rsidR="00243FDB" w:rsidRDefault="00F31EF6">
        <w:pPr>
          <w:pStyle w:val="Footer"/>
          <w:jc w:val="right"/>
        </w:pPr>
        <w:r>
          <w:fldChar w:fldCharType="begin"/>
        </w:r>
        <w:r>
          <w:instrText xml:space="preserve"> PAGE </w:instrText>
        </w:r>
        <w:r>
          <w:fldChar w:fldCharType="separate"/>
        </w:r>
        <w:r>
          <w:t>1</w:t>
        </w:r>
        <w:r>
          <w:fldChar w:fldCharType="end"/>
        </w:r>
      </w:p>
    </w:sdtContent>
  </w:sdt>
  <w:p w14:paraId="071453F8" w14:textId="77777777" w:rsidR="00243FDB" w:rsidRDefault="00243F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42A6E" w14:textId="77777777" w:rsidR="00A06688" w:rsidRDefault="00A06688">
      <w:pPr>
        <w:spacing w:after="0" w:line="240" w:lineRule="auto"/>
      </w:pPr>
      <w:r>
        <w:separator/>
      </w:r>
    </w:p>
  </w:footnote>
  <w:footnote w:type="continuationSeparator" w:id="0">
    <w:p w14:paraId="7F318122" w14:textId="77777777" w:rsidR="00A06688" w:rsidRDefault="00A066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730F7" w14:textId="77777777" w:rsidR="00243FDB" w:rsidRDefault="00243F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FD63F" w14:textId="77777777" w:rsidR="00243FDB" w:rsidRDefault="00243F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D6E6D" w14:textId="77777777" w:rsidR="00243FDB" w:rsidRDefault="00F31EF6">
    <w:pPr>
      <w:pStyle w:val="Header"/>
    </w:pPr>
    <w:r>
      <w:rPr>
        <w:noProof/>
      </w:rPr>
      <w:drawing>
        <wp:anchor distT="0" distB="0" distL="114300" distR="114300" simplePos="0" relativeHeight="5" behindDoc="1" locked="0" layoutInCell="0" allowOverlap="1" wp14:anchorId="353C3352" wp14:editId="6189A681">
          <wp:simplePos x="0" y="0"/>
          <wp:positionH relativeFrom="column">
            <wp:posOffset>-946785</wp:posOffset>
          </wp:positionH>
          <wp:positionV relativeFrom="paragraph">
            <wp:posOffset>-393065</wp:posOffset>
          </wp:positionV>
          <wp:extent cx="7624445" cy="819785"/>
          <wp:effectExtent l="0" t="0" r="0" b="0"/>
          <wp:wrapSquare wrapText="bothSides"/>
          <wp:docPr id="4"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pic:cNvPicPr>
                    <a:picLocks noChangeAspect="1" noChangeArrowheads="1"/>
                  </pic:cNvPicPr>
                </pic:nvPicPr>
                <pic:blipFill>
                  <a:blip r:embed="rId1"/>
                  <a:stretch>
                    <a:fillRect/>
                  </a:stretch>
                </pic:blipFill>
                <pic:spPr bwMode="auto">
                  <a:xfrm>
                    <a:off x="0" y="0"/>
                    <a:ext cx="7624445" cy="8197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26B6"/>
    <w:multiLevelType w:val="multilevel"/>
    <w:tmpl w:val="8AB82F3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0620222B"/>
    <w:multiLevelType w:val="multilevel"/>
    <w:tmpl w:val="E8B61D2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8F964EF"/>
    <w:multiLevelType w:val="multilevel"/>
    <w:tmpl w:val="FFF021E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7AC44A6"/>
    <w:multiLevelType w:val="multilevel"/>
    <w:tmpl w:val="8B060C5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8C91BB8"/>
    <w:multiLevelType w:val="multilevel"/>
    <w:tmpl w:val="435EF18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2B59418C"/>
    <w:multiLevelType w:val="multilevel"/>
    <w:tmpl w:val="8D7C6B36"/>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6" w15:restartNumberingAfterBreak="0">
    <w:nsid w:val="30FF6443"/>
    <w:multiLevelType w:val="multilevel"/>
    <w:tmpl w:val="7944BFC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34473CEC"/>
    <w:multiLevelType w:val="multilevel"/>
    <w:tmpl w:val="B38CAEC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15:restartNumberingAfterBreak="0">
    <w:nsid w:val="3BA74354"/>
    <w:multiLevelType w:val="multilevel"/>
    <w:tmpl w:val="47B6784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15:restartNumberingAfterBreak="0">
    <w:nsid w:val="73FB406E"/>
    <w:multiLevelType w:val="multilevel"/>
    <w:tmpl w:val="0516566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971865963">
    <w:abstractNumId w:val="7"/>
  </w:num>
  <w:num w:numId="2" w16cid:durableId="930360290">
    <w:abstractNumId w:val="0"/>
  </w:num>
  <w:num w:numId="3" w16cid:durableId="640622312">
    <w:abstractNumId w:val="8"/>
  </w:num>
  <w:num w:numId="4" w16cid:durableId="1081290719">
    <w:abstractNumId w:val="6"/>
  </w:num>
  <w:num w:numId="5" w16cid:durableId="430860776">
    <w:abstractNumId w:val="1"/>
  </w:num>
  <w:num w:numId="6" w16cid:durableId="1935704039">
    <w:abstractNumId w:val="2"/>
  </w:num>
  <w:num w:numId="7" w16cid:durableId="975110444">
    <w:abstractNumId w:val="4"/>
  </w:num>
  <w:num w:numId="8" w16cid:durableId="769936963">
    <w:abstractNumId w:val="3"/>
  </w:num>
  <w:num w:numId="9" w16cid:durableId="1622107781">
    <w:abstractNumId w:val="5"/>
  </w:num>
  <w:num w:numId="10" w16cid:durableId="4963060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FDB"/>
    <w:rsid w:val="000C58B8"/>
    <w:rsid w:val="000F0FBF"/>
    <w:rsid w:val="00123A67"/>
    <w:rsid w:val="00243FDB"/>
    <w:rsid w:val="00244F36"/>
    <w:rsid w:val="004148C7"/>
    <w:rsid w:val="00486641"/>
    <w:rsid w:val="00695C09"/>
    <w:rsid w:val="006C1F53"/>
    <w:rsid w:val="00784C16"/>
    <w:rsid w:val="009F4466"/>
    <w:rsid w:val="00A06688"/>
    <w:rsid w:val="00A441DD"/>
    <w:rsid w:val="00BF1F1F"/>
    <w:rsid w:val="00C17E50"/>
    <w:rsid w:val="00C52DC1"/>
    <w:rsid w:val="00E75CFA"/>
    <w:rsid w:val="00F31EF6"/>
    <w:rsid w:val="00F56093"/>
    <w:rsid w:val="0B75E488"/>
    <w:rsid w:val="119F226F"/>
    <w:rsid w:val="430FBB38"/>
    <w:rsid w:val="79F240C2"/>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2A24C"/>
  <w15:docId w15:val="{8E7360CA-96CA-4DFA-8E79-464DE2524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6" w:lineRule="auto"/>
    </w:pPr>
  </w:style>
  <w:style w:type="paragraph" w:styleId="Heading1">
    <w:name w:val="heading 1"/>
    <w:basedOn w:val="Normal"/>
    <w:next w:val="Normal"/>
    <w:link w:val="Heading1Char"/>
    <w:uiPriority w:val="9"/>
    <w:qFormat/>
    <w:rsid w:val="005A01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01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01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01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01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01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01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01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01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5A01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sid w:val="005A01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sid w:val="005A01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sid w:val="005A01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sid w:val="005A01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sid w:val="005A01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5A01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5A01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sid w:val="005A012B"/>
    <w:rPr>
      <w:rFonts w:eastAsiaTheme="majorEastAsia" w:cstheme="majorBidi"/>
      <w:color w:val="272727" w:themeColor="text1" w:themeTint="D8"/>
    </w:rPr>
  </w:style>
  <w:style w:type="character" w:customStyle="1" w:styleId="TitleChar">
    <w:name w:val="Title Char"/>
    <w:basedOn w:val="DefaultParagraphFont"/>
    <w:link w:val="Title"/>
    <w:uiPriority w:val="10"/>
    <w:qFormat/>
    <w:rsid w:val="005A012B"/>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sid w:val="005A012B"/>
    <w:rPr>
      <w:rFonts w:eastAsiaTheme="majorEastAsia" w:cstheme="majorBidi"/>
      <w:color w:val="595959" w:themeColor="text1" w:themeTint="A6"/>
      <w:spacing w:val="15"/>
      <w:sz w:val="28"/>
      <w:szCs w:val="28"/>
    </w:rPr>
  </w:style>
  <w:style w:type="character" w:customStyle="1" w:styleId="QuoteChar">
    <w:name w:val="Quote Char"/>
    <w:basedOn w:val="DefaultParagraphFont"/>
    <w:link w:val="Quote"/>
    <w:uiPriority w:val="29"/>
    <w:qFormat/>
    <w:rsid w:val="005A012B"/>
    <w:rPr>
      <w:i/>
      <w:iCs/>
      <w:color w:val="404040" w:themeColor="text1" w:themeTint="BF"/>
    </w:rPr>
  </w:style>
  <w:style w:type="character" w:styleId="IntenseEmphasis">
    <w:name w:val="Intense Emphasis"/>
    <w:basedOn w:val="DefaultParagraphFont"/>
    <w:uiPriority w:val="21"/>
    <w:qFormat/>
    <w:rsid w:val="005A012B"/>
    <w:rPr>
      <w:i/>
      <w:iCs/>
      <w:color w:val="0F4761" w:themeColor="accent1" w:themeShade="BF"/>
    </w:rPr>
  </w:style>
  <w:style w:type="character" w:customStyle="1" w:styleId="IntenseQuoteChar">
    <w:name w:val="Intense Quote Char"/>
    <w:basedOn w:val="DefaultParagraphFont"/>
    <w:link w:val="IntenseQuote"/>
    <w:uiPriority w:val="30"/>
    <w:qFormat/>
    <w:rsid w:val="005A012B"/>
    <w:rPr>
      <w:i/>
      <w:iCs/>
      <w:color w:val="0F4761" w:themeColor="accent1" w:themeShade="BF"/>
    </w:rPr>
  </w:style>
  <w:style w:type="character" w:styleId="IntenseReference">
    <w:name w:val="Intense Reference"/>
    <w:basedOn w:val="DefaultParagraphFont"/>
    <w:uiPriority w:val="32"/>
    <w:qFormat/>
    <w:rsid w:val="005A012B"/>
    <w:rPr>
      <w:b/>
      <w:bCs/>
      <w:smallCaps/>
      <w:color w:val="0F4761" w:themeColor="accent1" w:themeShade="BF"/>
      <w:spacing w:val="5"/>
    </w:rPr>
  </w:style>
  <w:style w:type="character" w:styleId="Hyperlink">
    <w:name w:val="Hyperlink"/>
    <w:basedOn w:val="DefaultParagraphFont"/>
    <w:uiPriority w:val="99"/>
    <w:unhideWhenUsed/>
    <w:rsid w:val="003871F6"/>
    <w:rPr>
      <w:color w:val="467886" w:themeColor="hyperlink"/>
      <w:u w:val="single"/>
    </w:rPr>
  </w:style>
  <w:style w:type="character" w:styleId="UnresolvedMention">
    <w:name w:val="Unresolved Mention"/>
    <w:basedOn w:val="DefaultParagraphFont"/>
    <w:uiPriority w:val="99"/>
    <w:semiHidden/>
    <w:unhideWhenUsed/>
    <w:qFormat/>
    <w:rsid w:val="003871F6"/>
    <w:rPr>
      <w:color w:val="605E5C"/>
      <w:shd w:val="clear" w:color="auto" w:fill="E1DFDD"/>
    </w:rPr>
  </w:style>
  <w:style w:type="character" w:styleId="Strong">
    <w:name w:val="Strong"/>
    <w:basedOn w:val="DefaultParagraphFont"/>
    <w:uiPriority w:val="22"/>
    <w:qFormat/>
    <w:rsid w:val="00A0206B"/>
    <w:rPr>
      <w:b/>
      <w:bCs/>
    </w:rPr>
  </w:style>
  <w:style w:type="character" w:customStyle="1" w:styleId="HeaderChar">
    <w:name w:val="Header Char"/>
    <w:basedOn w:val="DefaultParagraphFont"/>
    <w:link w:val="Header"/>
    <w:uiPriority w:val="99"/>
    <w:qFormat/>
    <w:rsid w:val="000017C2"/>
  </w:style>
  <w:style w:type="character" w:customStyle="1" w:styleId="FooterChar">
    <w:name w:val="Footer Char"/>
    <w:basedOn w:val="DefaultParagraphFont"/>
    <w:link w:val="Footer"/>
    <w:uiPriority w:val="99"/>
    <w:qFormat/>
    <w:rsid w:val="000017C2"/>
  </w:style>
  <w:style w:type="character" w:styleId="LineNumber">
    <w:name w:val="line number"/>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pPr>
      <w:spacing w:after="140"/>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styleId="Title">
    <w:name w:val="Title"/>
    <w:basedOn w:val="Normal"/>
    <w:next w:val="Normal"/>
    <w:link w:val="TitleChar"/>
    <w:uiPriority w:val="10"/>
    <w:qFormat/>
    <w:rsid w:val="005A012B"/>
    <w:pPr>
      <w:spacing w:after="80" w:line="240" w:lineRule="auto"/>
      <w:contextualSpacing/>
    </w:pPr>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5A01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012B"/>
    <w:pPr>
      <w:spacing w:before="160"/>
      <w:jc w:val="center"/>
    </w:pPr>
    <w:rPr>
      <w:i/>
      <w:iCs/>
      <w:color w:val="404040" w:themeColor="text1" w:themeTint="BF"/>
    </w:rPr>
  </w:style>
  <w:style w:type="paragraph" w:styleId="ListParagraph">
    <w:name w:val="List Paragraph"/>
    <w:basedOn w:val="Normal"/>
    <w:uiPriority w:val="34"/>
    <w:qFormat/>
    <w:rsid w:val="005A012B"/>
    <w:pPr>
      <w:ind w:left="720"/>
      <w:contextualSpacing/>
    </w:pPr>
  </w:style>
  <w:style w:type="paragraph" w:styleId="IntenseQuote">
    <w:name w:val="Intense Quote"/>
    <w:basedOn w:val="Normal"/>
    <w:next w:val="Normal"/>
    <w:link w:val="IntenseQuoteChar"/>
    <w:uiPriority w:val="30"/>
    <w:qFormat/>
    <w:rsid w:val="005A01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paragraph" w:styleId="NoSpacing">
    <w:name w:val="No Spacing"/>
    <w:uiPriority w:val="1"/>
    <w:qFormat/>
    <w:rsid w:val="00820467"/>
  </w:style>
  <w:style w:type="paragraph" w:styleId="NormalWeb">
    <w:name w:val="Normal (Web)"/>
    <w:basedOn w:val="Normal"/>
    <w:uiPriority w:val="99"/>
    <w:semiHidden/>
    <w:unhideWhenUsed/>
    <w:qFormat/>
    <w:rsid w:val="00A0206B"/>
    <w:pPr>
      <w:spacing w:beforeAutospacing="1" w:afterAutospacing="1" w:line="240" w:lineRule="auto"/>
    </w:pPr>
    <w:rPr>
      <w:rFonts w:ascii="Times New Roman" w:eastAsia="Times New Roman" w:hAnsi="Times New Roman" w:cs="Times New Roman"/>
      <w:kern w:val="0"/>
      <w:lang w:eastAsia="en-GB"/>
      <w14:ligatures w14:val="none"/>
    </w:rPr>
  </w:style>
  <w:style w:type="paragraph" w:customStyle="1" w:styleId="HeaderandFooter">
    <w:name w:val="Header and Footer"/>
    <w:basedOn w:val="Normal"/>
    <w:qFormat/>
  </w:style>
  <w:style w:type="paragraph" w:styleId="Header">
    <w:name w:val="header"/>
    <w:basedOn w:val="Normal"/>
    <w:link w:val="HeaderChar"/>
    <w:uiPriority w:val="99"/>
    <w:unhideWhenUsed/>
    <w:rsid w:val="000017C2"/>
    <w:pPr>
      <w:tabs>
        <w:tab w:val="center" w:pos="4513"/>
        <w:tab w:val="right" w:pos="9026"/>
      </w:tabs>
      <w:spacing w:after="0" w:line="240" w:lineRule="auto"/>
    </w:pPr>
  </w:style>
  <w:style w:type="paragraph" w:styleId="Footer">
    <w:name w:val="footer"/>
    <w:basedOn w:val="Normal"/>
    <w:link w:val="FooterChar"/>
    <w:uiPriority w:val="99"/>
    <w:unhideWhenUsed/>
    <w:rsid w:val="000017C2"/>
    <w:pPr>
      <w:tabs>
        <w:tab w:val="center" w:pos="4513"/>
        <w:tab w:val="right" w:pos="9026"/>
      </w:tabs>
      <w:spacing w:after="0" w:line="240" w:lineRule="auto"/>
    </w:pPr>
  </w:style>
  <w:style w:type="table" w:styleId="TableGrid">
    <w:name w:val="Table Grid"/>
    <w:basedOn w:val="TableNormal"/>
    <w:uiPriority w:val="39"/>
    <w:rsid w:val="005A01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DE073E69E10BA42B38A14E118F3DF5D" ma:contentTypeVersion="15" ma:contentTypeDescription="Create a new document." ma:contentTypeScope="" ma:versionID="5288f70172412d42722a46b748af749d">
  <xsd:schema xmlns:xsd="http://www.w3.org/2001/XMLSchema" xmlns:xs="http://www.w3.org/2001/XMLSchema" xmlns:p="http://schemas.microsoft.com/office/2006/metadata/properties" xmlns:ns2="0989e5d0-fa9d-4c85-9180-d9786a41b9f8" xmlns:ns3="61c5df54-bcd0-4751-a418-23e62e931dd3" targetNamespace="http://schemas.microsoft.com/office/2006/metadata/properties" ma:root="true" ma:fieldsID="f1ba2cfdd0f0f18dc97860b6b14e810d" ns2:_="" ns3:_="">
    <xsd:import namespace="0989e5d0-fa9d-4c85-9180-d9786a41b9f8"/>
    <xsd:import namespace="61c5df54-bcd0-4751-a418-23e62e931d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89e5d0-fa9d-4c85-9180-d9786a41b9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8b76e3b-9072-4022-9154-751f395ecd6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c5df54-bcd0-4751-a418-23e62e931dd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6178597-0ed0-405a-80d4-24cb7a35eabd}" ma:internalName="TaxCatchAll" ma:showField="CatchAllData" ma:web="61c5df54-bcd0-4751-a418-23e62e931d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1c5df54-bcd0-4751-a418-23e62e931dd3" xsi:nil="true"/>
    <lcf76f155ced4ddcb4097134ff3c332f xmlns="0989e5d0-fa9d-4c85-9180-d9786a41b9f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979589C-67B4-481B-8013-2C8F657BC240}">
  <ds:schemaRefs>
    <ds:schemaRef ds:uri="http://schemas.microsoft.com/sharepoint/v3/contenttype/forms"/>
  </ds:schemaRefs>
</ds:datastoreItem>
</file>

<file path=customXml/itemProps2.xml><?xml version="1.0" encoding="utf-8"?>
<ds:datastoreItem xmlns:ds="http://schemas.openxmlformats.org/officeDocument/2006/customXml" ds:itemID="{5F10A2E2-32DE-4F3B-A47E-0B743974C1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89e5d0-fa9d-4c85-9180-d9786a41b9f8"/>
    <ds:schemaRef ds:uri="61c5df54-bcd0-4751-a418-23e62e931d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FA94C5-6D80-4807-A90E-73DE772F363C}">
  <ds:schemaRefs>
    <ds:schemaRef ds:uri="http://schemas.microsoft.com/office/2006/metadata/properties"/>
    <ds:schemaRef ds:uri="http://schemas.microsoft.com/office/infopath/2007/PartnerControls"/>
    <ds:schemaRef ds:uri="61c5df54-bcd0-4751-a418-23e62e931dd3"/>
    <ds:schemaRef ds:uri="0989e5d0-fa9d-4c85-9180-d9786a41b9f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589</Words>
  <Characters>3359</Characters>
  <Application>Microsoft Office Word</Application>
  <DocSecurity>0</DocSecurity>
  <Lines>27</Lines>
  <Paragraphs>7</Paragraphs>
  <ScaleCrop>false</ScaleCrop>
  <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CONDE, Fiona</dc:creator>
  <dc:description/>
  <cp:lastModifiedBy>CONDE, Fiona</cp:lastModifiedBy>
  <cp:revision>2</cp:revision>
  <dcterms:created xsi:type="dcterms:W3CDTF">2026-07-21T11:54:00Z</dcterms:created>
  <dcterms:modified xsi:type="dcterms:W3CDTF">2026-07-21T11:54:00Z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0x010100FDE073E69E10BA42B38A14E118F3DF5D</vt:lpwstr>
  </property>
  <property fmtid="{D5CDD505-2E9C-101B-9397-08002B2CF9AE}" pid="3" name="MediaServiceImageTags">
    <vt:lpwstr/>
  </property>
</Properties>
</file>