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6BC25" w14:textId="77777777" w:rsidR="00243FDB" w:rsidRDefault="00243FDB">
      <w:pPr>
        <w:spacing w:after="120" w:line="360" w:lineRule="auto"/>
        <w:jc w:val="center"/>
      </w:pPr>
    </w:p>
    <w:p w14:paraId="53BC9242" w14:textId="77777777" w:rsidR="00243FDB" w:rsidRDefault="00243FDB">
      <w:pPr>
        <w:spacing w:after="120" w:line="360" w:lineRule="auto"/>
        <w:jc w:val="center"/>
      </w:pPr>
    </w:p>
    <w:p w14:paraId="0443DE5F" w14:textId="77777777" w:rsidR="00243FDB" w:rsidRDefault="00F31EF6">
      <w:pPr>
        <w:spacing w:after="120" w:line="360" w:lineRule="auto"/>
        <w:jc w:val="center"/>
      </w:pPr>
      <w:r>
        <w:rPr>
          <w:noProof/>
        </w:rPr>
        <w:drawing>
          <wp:inline distT="0" distB="0" distL="0" distR="0" wp14:anchorId="10A7F2C4" wp14:editId="1618F783">
            <wp:extent cx="5657215" cy="3389630"/>
            <wp:effectExtent l="0" t="0" r="0" b="0"/>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pic:cNvPicPr>
                      <a:picLocks noChangeAspect="1" noChangeArrowheads="1"/>
                    </pic:cNvPicPr>
                  </pic:nvPicPr>
                  <pic:blipFill>
                    <a:blip r:embed="rId10"/>
                    <a:stretch>
                      <a:fillRect/>
                    </a:stretch>
                  </pic:blipFill>
                  <pic:spPr bwMode="auto">
                    <a:xfrm>
                      <a:off x="0" y="0"/>
                      <a:ext cx="5657215" cy="3389630"/>
                    </a:xfrm>
                    <a:prstGeom prst="rect">
                      <a:avLst/>
                    </a:prstGeom>
                  </pic:spPr>
                </pic:pic>
              </a:graphicData>
            </a:graphic>
          </wp:inline>
        </w:drawing>
      </w:r>
    </w:p>
    <w:p w14:paraId="3AB6A7AC" w14:textId="77777777" w:rsidR="00243FDB" w:rsidRDefault="00243FDB">
      <w:pPr>
        <w:spacing w:after="120" w:line="360" w:lineRule="auto"/>
        <w:jc w:val="center"/>
        <w:rPr>
          <w:rFonts w:asciiTheme="majorHAnsi" w:hAnsiTheme="majorHAnsi"/>
          <w:b/>
          <w:bCs/>
          <w:color w:val="002060"/>
          <w:sz w:val="56"/>
          <w:szCs w:val="56"/>
        </w:rPr>
      </w:pPr>
    </w:p>
    <w:p w14:paraId="0C4B3E11" w14:textId="77777777" w:rsidR="00243FDB" w:rsidRDefault="00F31EF6">
      <w:pPr>
        <w:spacing w:after="120" w:line="360" w:lineRule="auto"/>
        <w:jc w:val="center"/>
        <w:rPr>
          <w:rFonts w:asciiTheme="majorHAnsi" w:hAnsiTheme="majorHAnsi"/>
          <w:b/>
          <w:bCs/>
          <w:color w:val="002060"/>
          <w:sz w:val="56"/>
          <w:szCs w:val="56"/>
        </w:rPr>
      </w:pPr>
      <w:r>
        <w:rPr>
          <w:rFonts w:asciiTheme="majorHAnsi" w:hAnsiTheme="majorHAnsi"/>
          <w:b/>
          <w:bCs/>
          <w:color w:val="002060"/>
          <w:sz w:val="56"/>
          <w:szCs w:val="56"/>
        </w:rPr>
        <w:t>Telford Court</w:t>
      </w:r>
    </w:p>
    <w:p w14:paraId="3D98B7B7" w14:textId="77777777" w:rsidR="00243FDB" w:rsidRDefault="00243FDB">
      <w:pPr>
        <w:spacing w:after="120" w:line="360" w:lineRule="auto"/>
        <w:jc w:val="center"/>
        <w:rPr>
          <w:rFonts w:asciiTheme="majorHAnsi" w:hAnsiTheme="majorHAnsi"/>
          <w:b/>
          <w:bCs/>
          <w:color w:val="002060"/>
          <w:sz w:val="44"/>
          <w:szCs w:val="44"/>
        </w:rPr>
      </w:pPr>
    </w:p>
    <w:p w14:paraId="26CCC165" w14:textId="77777777" w:rsidR="00243FDB" w:rsidRDefault="00F31EF6">
      <w:pPr>
        <w:spacing w:after="120" w:line="360" w:lineRule="auto"/>
        <w:jc w:val="center"/>
        <w:rPr>
          <w:rFonts w:asciiTheme="majorHAnsi" w:hAnsiTheme="majorHAnsi"/>
          <w:b/>
          <w:bCs/>
          <w:color w:val="002060"/>
          <w:sz w:val="48"/>
          <w:szCs w:val="48"/>
        </w:rPr>
      </w:pPr>
      <w:r>
        <w:rPr>
          <w:rFonts w:asciiTheme="majorHAnsi" w:hAnsiTheme="majorHAnsi"/>
          <w:b/>
          <w:bCs/>
          <w:color w:val="002060"/>
          <w:sz w:val="48"/>
          <w:szCs w:val="48"/>
        </w:rPr>
        <w:t>Risk Assessment Policy</w:t>
      </w:r>
    </w:p>
    <w:p w14:paraId="18241856" w14:textId="25C24AFB" w:rsidR="00243FDB" w:rsidRDefault="00F31EF6" w:rsidP="430FBB38">
      <w:pPr>
        <w:spacing w:after="120" w:line="360" w:lineRule="auto"/>
        <w:jc w:val="center"/>
        <w:rPr>
          <w:rFonts w:asciiTheme="majorHAnsi" w:hAnsiTheme="majorHAnsi"/>
          <w:b/>
          <w:bCs/>
          <w:color w:val="002060"/>
          <w:sz w:val="48"/>
          <w:szCs w:val="48"/>
        </w:rPr>
      </w:pPr>
      <w:r>
        <w:rPr>
          <w:rFonts w:asciiTheme="majorHAnsi" w:hAnsiTheme="majorHAnsi"/>
          <w:b/>
          <w:bCs/>
          <w:color w:val="002060"/>
          <w:sz w:val="48"/>
          <w:szCs w:val="48"/>
        </w:rPr>
        <w:t>2026-2027</w:t>
      </w:r>
    </w:p>
    <w:p w14:paraId="3BC64A26" w14:textId="77777777" w:rsidR="00243FDB" w:rsidRDefault="00243FDB">
      <w:pPr>
        <w:rPr>
          <w:rFonts w:asciiTheme="majorHAnsi" w:hAnsiTheme="majorHAnsi"/>
          <w:b/>
          <w:bCs/>
          <w:color w:val="002060"/>
          <w:sz w:val="72"/>
          <w:szCs w:val="72"/>
        </w:rPr>
      </w:pPr>
    </w:p>
    <w:p w14:paraId="270568D4" w14:textId="77777777" w:rsidR="00243FDB" w:rsidRPr="00695C09" w:rsidRDefault="00F31EF6">
      <w:pPr>
        <w:ind w:left="360"/>
        <w:rPr>
          <w:sz w:val="28"/>
          <w:szCs w:val="28"/>
        </w:rPr>
      </w:pPr>
      <w:r>
        <w:br w:type="page"/>
      </w:r>
    </w:p>
    <w:p w14:paraId="1AE82115" w14:textId="77777777" w:rsidR="00243FDB" w:rsidRPr="00695C09" w:rsidRDefault="00F31EF6">
      <w:pPr>
        <w:ind w:left="360"/>
        <w:rPr>
          <w:sz w:val="28"/>
          <w:szCs w:val="28"/>
        </w:rPr>
      </w:pPr>
      <w:r>
        <w:rPr>
          <w:b/>
          <w:bCs/>
          <w:color w:val="002060"/>
          <w:sz w:val="32"/>
          <w:szCs w:val="32"/>
        </w:rPr>
        <w:lastRenderedPageBreak/>
        <w:t>Contents</w:t>
      </w:r>
    </w:p>
    <w:p w14:paraId="5649D5BB" w14:textId="77777777" w:rsidR="00243FDB" w:rsidRPr="00695C09" w:rsidRDefault="00F31EF6">
      <w:pPr>
        <w:ind w:left="360"/>
        <w:rPr>
          <w:sz w:val="28"/>
          <w:szCs w:val="28"/>
        </w:rPr>
      </w:pPr>
      <w:r>
        <w:rPr>
          <w:sz w:val="28"/>
          <w:szCs w:val="28"/>
        </w:rPr>
        <w:t>1. Policy Statement</w:t>
      </w:r>
    </w:p>
    <w:p w14:paraId="69993C20" w14:textId="77777777" w:rsidR="00243FDB" w:rsidRPr="00695C09" w:rsidRDefault="00F31EF6">
      <w:pPr>
        <w:ind w:left="360"/>
        <w:rPr>
          <w:sz w:val="28"/>
          <w:szCs w:val="28"/>
        </w:rPr>
      </w:pPr>
      <w:r>
        <w:rPr>
          <w:sz w:val="28"/>
          <w:szCs w:val="28"/>
        </w:rPr>
        <w:t>2. Legal Framework</w:t>
      </w:r>
    </w:p>
    <w:p w14:paraId="36A4859F" w14:textId="77777777" w:rsidR="00243FDB" w:rsidRPr="00695C09" w:rsidRDefault="00F31EF6">
      <w:pPr>
        <w:ind w:left="360"/>
        <w:rPr>
          <w:sz w:val="28"/>
          <w:szCs w:val="28"/>
        </w:rPr>
      </w:pPr>
      <w:r>
        <w:rPr>
          <w:sz w:val="28"/>
          <w:szCs w:val="28"/>
        </w:rPr>
        <w:t>3. Roles and Responsibilities</w:t>
      </w:r>
    </w:p>
    <w:p w14:paraId="60A6F11D" w14:textId="77777777" w:rsidR="00243FDB" w:rsidRPr="00695C09" w:rsidRDefault="00F31EF6">
      <w:pPr>
        <w:ind w:left="360"/>
        <w:rPr>
          <w:sz w:val="28"/>
          <w:szCs w:val="28"/>
        </w:rPr>
      </w:pPr>
      <w:r>
        <w:rPr>
          <w:sz w:val="28"/>
          <w:szCs w:val="28"/>
        </w:rPr>
        <w:t>4. Types of Risk Assessment</w:t>
      </w:r>
    </w:p>
    <w:p w14:paraId="7F7CC2E4" w14:textId="77777777" w:rsidR="00243FDB" w:rsidRPr="00695C09" w:rsidRDefault="00F31EF6">
      <w:pPr>
        <w:ind w:left="360"/>
        <w:rPr>
          <w:sz w:val="28"/>
          <w:szCs w:val="28"/>
        </w:rPr>
      </w:pPr>
      <w:r>
        <w:rPr>
          <w:sz w:val="28"/>
          <w:szCs w:val="28"/>
        </w:rPr>
        <w:t>5. Risk Assessment Process</w:t>
      </w:r>
    </w:p>
    <w:p w14:paraId="704DB177" w14:textId="77777777" w:rsidR="00243FDB" w:rsidRPr="00695C09" w:rsidRDefault="00F31EF6">
      <w:pPr>
        <w:ind w:left="360"/>
        <w:rPr>
          <w:sz w:val="28"/>
          <w:szCs w:val="28"/>
        </w:rPr>
      </w:pPr>
      <w:r>
        <w:rPr>
          <w:sz w:val="28"/>
          <w:szCs w:val="28"/>
        </w:rPr>
        <w:t>6. Review and Monitoring</w:t>
      </w:r>
    </w:p>
    <w:p w14:paraId="6F9E202F" w14:textId="77777777" w:rsidR="00243FDB" w:rsidRPr="00695C09" w:rsidRDefault="00F31EF6">
      <w:pPr>
        <w:ind w:left="360"/>
        <w:rPr>
          <w:sz w:val="28"/>
          <w:szCs w:val="28"/>
        </w:rPr>
      </w:pPr>
      <w:r>
        <w:rPr>
          <w:sz w:val="28"/>
          <w:szCs w:val="28"/>
        </w:rPr>
        <w:t>7. Related Policies</w:t>
      </w:r>
    </w:p>
    <w:p w14:paraId="27FD0041" w14:textId="77777777" w:rsidR="00243FDB" w:rsidRDefault="00F31EF6" w:rsidP="430FBB38">
      <w:pPr>
        <w:pageBreakBefore/>
        <w:spacing w:after="120" w:line="360" w:lineRule="auto"/>
        <w:rPr>
          <w:rFonts w:asciiTheme="majorHAnsi" w:hAnsiTheme="majorHAnsi"/>
          <w:b/>
          <w:bCs/>
          <w:color w:val="002060"/>
          <w:sz w:val="48"/>
          <w:szCs w:val="48"/>
        </w:rPr>
      </w:pPr>
      <w:r>
        <w:rPr>
          <w:rFonts w:asciiTheme="majorHAnsi" w:hAnsiTheme="majorHAnsi"/>
          <w:b/>
          <w:bCs/>
          <w:color w:val="002060"/>
          <w:sz w:val="28"/>
          <w:szCs w:val="28"/>
        </w:rPr>
        <w:lastRenderedPageBreak/>
        <w:t>1. Policy Statement</w:t>
      </w:r>
    </w:p>
    <w:p w14:paraId="78629157" w14:textId="7B2943C1" w:rsidR="00243FDB" w:rsidRPr="00FE143A" w:rsidRDefault="00F31EF6" w:rsidP="00642FB1">
      <w:pPr>
        <w:ind w:left="360"/>
      </w:pPr>
      <w:r>
        <w:t>The Greenhouse HyFlex Academy is committed to providing a safe environment for all young people, staff and visitors. This policy sets out how The Greenhouse identifies, assesses and manages risk across all aspects of its provision.</w:t>
      </w:r>
    </w:p>
    <w:p w14:paraId="786EAA24" w14:textId="77777777" w:rsidR="00243FDB" w:rsidRDefault="00F31EF6">
      <w:pPr>
        <w:ind w:left="360"/>
      </w:pPr>
      <w:r>
        <w:t>Risk assessment is a continuous process at The Greenhouse, not a one-off administrative task. The Greenhouse operates with a cohort of young people aged 11 to 19 with complex, often trauma-related needs, and dynamic risk assessment is embedded in daily practice.</w:t>
      </w:r>
    </w:p>
    <w:p w14:paraId="18847D03" w14:textId="77777777" w:rsidR="00FE143A" w:rsidRPr="00FE143A" w:rsidRDefault="00FE143A">
      <w:pPr>
        <w:ind w:left="360"/>
      </w:pPr>
    </w:p>
    <w:p w14:paraId="48822AE0" w14:textId="77777777"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2. Legal Framework</w:t>
      </w:r>
    </w:p>
    <w:p w14:paraId="44B3C0B2" w14:textId="77777777" w:rsidR="00243FDB" w:rsidRPr="00FE143A" w:rsidRDefault="00F31EF6">
      <w:pPr>
        <w:ind w:left="360"/>
      </w:pPr>
      <w:r>
        <w:t>This policy has regard to:</w:t>
      </w:r>
    </w:p>
    <w:p w14:paraId="23E9CC7B" w14:textId="77777777" w:rsidR="00243FDB" w:rsidRDefault="00F31EF6">
      <w:pPr>
        <w:pStyle w:val="ListParagraph"/>
        <w:numPr>
          <w:ilvl w:val="0"/>
          <w:numId w:val="8"/>
        </w:numPr>
      </w:pPr>
      <w:r>
        <w:t>Health and Safety at Work etc. Act 1974</w:t>
      </w:r>
    </w:p>
    <w:p w14:paraId="3EF44707" w14:textId="77777777" w:rsidR="00243FDB" w:rsidRDefault="00F31EF6">
      <w:pPr>
        <w:pStyle w:val="ListParagraph"/>
        <w:numPr>
          <w:ilvl w:val="0"/>
          <w:numId w:val="8"/>
        </w:numPr>
      </w:pPr>
      <w:r>
        <w:t>Management of Health and Safety at Work Regulations 1999</w:t>
      </w:r>
    </w:p>
    <w:p w14:paraId="3C55B3A1" w14:textId="77777777" w:rsidR="00243FDB" w:rsidRDefault="00F31EF6">
      <w:pPr>
        <w:pStyle w:val="ListParagraph"/>
        <w:numPr>
          <w:ilvl w:val="0"/>
          <w:numId w:val="8"/>
        </w:numPr>
      </w:pPr>
      <w:r>
        <w:t>Keeping Children Safe in Education (KCSIE) 2026</w:t>
      </w:r>
    </w:p>
    <w:p w14:paraId="3ED90A65" w14:textId="77777777" w:rsidR="00243FDB" w:rsidRDefault="00F31EF6">
      <w:pPr>
        <w:pStyle w:val="ListParagraph"/>
        <w:numPr>
          <w:ilvl w:val="0"/>
          <w:numId w:val="8"/>
        </w:numPr>
      </w:pPr>
      <w:r>
        <w:t>DfE Non-School Alternative Provision Voluntary National Standards (August 2025)</w:t>
      </w:r>
    </w:p>
    <w:p w14:paraId="2770958A" w14:textId="77777777" w:rsidR="00243FDB" w:rsidRDefault="00F31EF6">
      <w:pPr>
        <w:pStyle w:val="ListParagraph"/>
        <w:numPr>
          <w:ilvl w:val="0"/>
          <w:numId w:val="8"/>
        </w:numPr>
      </w:pPr>
      <w:r>
        <w:t>Reporting of Injuries, Diseases and Dangerous Occurrences Regulations (RIDDOR) 2013</w:t>
      </w:r>
    </w:p>
    <w:p w14:paraId="58BCB1A8" w14:textId="77777777" w:rsidR="00642FB1" w:rsidRDefault="00642FB1" w:rsidP="00642FB1">
      <w:pPr>
        <w:pStyle w:val="ListParagraph"/>
      </w:pPr>
    </w:p>
    <w:p w14:paraId="2525A899" w14:textId="77777777"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3. Roles and Responsibilities</w:t>
      </w:r>
    </w:p>
    <w:p w14:paraId="30C1CAC7" w14:textId="77777777" w:rsidR="00243FDB" w:rsidRPr="00FE143A" w:rsidRDefault="00F31EF6">
      <w:pPr>
        <w:ind w:left="360"/>
      </w:pPr>
      <w:r>
        <w:rPr>
          <w:b/>
          <w:bCs/>
        </w:rPr>
        <w:t>Headteacher</w:t>
      </w:r>
    </w:p>
    <w:p w14:paraId="5CA97F73" w14:textId="2747161D" w:rsidR="00243FDB" w:rsidRPr="00FE143A" w:rsidRDefault="00F31EF6" w:rsidP="00FE143A">
      <w:pPr>
        <w:ind w:left="360"/>
      </w:pPr>
      <w:r>
        <w:t>The Headteacher holds overall responsibility for risk assessment at The Greenhouse, approves all significant risk assessments and ensures that findings are acted upon.</w:t>
      </w:r>
    </w:p>
    <w:p w14:paraId="6D8B3C23" w14:textId="77777777" w:rsidR="00243FDB" w:rsidRPr="00FE143A" w:rsidRDefault="00F31EF6">
      <w:pPr>
        <w:ind w:left="360"/>
      </w:pPr>
      <w:r>
        <w:rPr>
          <w:b/>
          <w:bCs/>
        </w:rPr>
        <w:t>All Staff</w:t>
      </w:r>
    </w:p>
    <w:p w14:paraId="118EF0FF" w14:textId="77777777" w:rsidR="00243FDB" w:rsidRPr="00FE143A" w:rsidRDefault="00F31EF6">
      <w:pPr>
        <w:ind w:left="360"/>
      </w:pPr>
      <w:r>
        <w:t>All staff have a responsibility to:</w:t>
      </w:r>
    </w:p>
    <w:p w14:paraId="33C017DE" w14:textId="77777777" w:rsidR="00243FDB" w:rsidRPr="00FE143A" w:rsidRDefault="00F31EF6">
      <w:pPr>
        <w:pStyle w:val="ListParagraph"/>
        <w:numPr>
          <w:ilvl w:val="0"/>
          <w:numId w:val="8"/>
        </w:numPr>
        <w:rPr>
          <w:sz w:val="22"/>
          <w:szCs w:val="22"/>
        </w:rPr>
      </w:pPr>
      <w:r>
        <w:rPr>
          <w:sz w:val="22"/>
          <w:szCs w:val="22"/>
        </w:rPr>
        <w:t>Follow all risk assessments relevant to their role and the activities they undertake</w:t>
      </w:r>
    </w:p>
    <w:p w14:paraId="6B606016" w14:textId="77777777" w:rsidR="00243FDB" w:rsidRPr="00FE143A" w:rsidRDefault="00F31EF6">
      <w:pPr>
        <w:pStyle w:val="ListParagraph"/>
        <w:numPr>
          <w:ilvl w:val="0"/>
          <w:numId w:val="8"/>
        </w:numPr>
        <w:rPr>
          <w:sz w:val="22"/>
          <w:szCs w:val="22"/>
        </w:rPr>
      </w:pPr>
      <w:r>
        <w:rPr>
          <w:sz w:val="22"/>
          <w:szCs w:val="22"/>
        </w:rPr>
        <w:t>Report new or changed risks to the Headteacher without delay</w:t>
      </w:r>
    </w:p>
    <w:p w14:paraId="6B530DEC" w14:textId="77777777" w:rsidR="00243FDB" w:rsidRPr="00FE143A" w:rsidRDefault="00F31EF6">
      <w:pPr>
        <w:pStyle w:val="ListParagraph"/>
        <w:numPr>
          <w:ilvl w:val="0"/>
          <w:numId w:val="8"/>
        </w:numPr>
        <w:rPr>
          <w:sz w:val="22"/>
          <w:szCs w:val="22"/>
        </w:rPr>
      </w:pPr>
      <w:r>
        <w:rPr>
          <w:sz w:val="22"/>
          <w:szCs w:val="22"/>
        </w:rPr>
        <w:t>Conduct dynamic risk assessments in real time where the situation demands</w:t>
      </w:r>
    </w:p>
    <w:p w14:paraId="6C4A0028" w14:textId="77777777" w:rsidR="00243FDB" w:rsidRDefault="00F31EF6">
      <w:pPr>
        <w:pStyle w:val="ListParagraph"/>
        <w:numPr>
          <w:ilvl w:val="0"/>
          <w:numId w:val="8"/>
        </w:numPr>
        <w:rPr>
          <w:sz w:val="22"/>
          <w:szCs w:val="22"/>
        </w:rPr>
      </w:pPr>
      <w:r>
        <w:rPr>
          <w:sz w:val="22"/>
          <w:szCs w:val="22"/>
        </w:rPr>
        <w:t>Never undertake an activity for which a required risk assessment has not been completed</w:t>
      </w:r>
    </w:p>
    <w:p w14:paraId="7CD06628" w14:textId="77777777" w:rsidR="008F6024" w:rsidRDefault="008F6024" w:rsidP="008F6024">
      <w:pPr>
        <w:pStyle w:val="ListParagraph"/>
        <w:rPr>
          <w:sz w:val="22"/>
          <w:szCs w:val="22"/>
        </w:rPr>
      </w:pPr>
    </w:p>
    <w:p w14:paraId="399A040F" w14:textId="77777777" w:rsidR="008F6024" w:rsidRDefault="008F6024" w:rsidP="008F6024">
      <w:pPr>
        <w:pStyle w:val="ListParagraph"/>
        <w:rPr>
          <w:sz w:val="22"/>
          <w:szCs w:val="22"/>
        </w:rPr>
      </w:pPr>
    </w:p>
    <w:p w14:paraId="17A407A3" w14:textId="77777777" w:rsidR="008F6024" w:rsidRPr="00FE143A" w:rsidRDefault="008F6024" w:rsidP="008F6024">
      <w:pPr>
        <w:pStyle w:val="ListParagraph"/>
        <w:rPr>
          <w:sz w:val="22"/>
          <w:szCs w:val="22"/>
        </w:rPr>
      </w:pPr>
    </w:p>
    <w:p w14:paraId="6DF4EE3F" w14:textId="77777777"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lastRenderedPageBreak/>
        <w:t>4. Types of Risk Assessment</w:t>
      </w:r>
    </w:p>
    <w:p w14:paraId="6864E07E" w14:textId="77777777" w:rsidR="00243FDB" w:rsidRPr="008F6024" w:rsidRDefault="00F31EF6">
      <w:pPr>
        <w:ind w:left="360"/>
      </w:pPr>
      <w:r>
        <w:rPr>
          <w:b/>
          <w:bCs/>
        </w:rPr>
        <w:t>Setting Risk Assessments</w:t>
      </w:r>
    </w:p>
    <w:p w14:paraId="40A1726D" w14:textId="7812E3C4" w:rsidR="00243FDB" w:rsidRPr="008F6024" w:rsidRDefault="00F31EF6" w:rsidP="008F6024">
      <w:pPr>
        <w:ind w:left="360"/>
      </w:pPr>
      <w:r>
        <w:t>The Greenhouse maintains written risk assessments for all aspects of the physical environment at Telford Court, including fire safety, lone working, and general health and safety. These are reviewed at least annually and following any incident.</w:t>
      </w:r>
    </w:p>
    <w:p w14:paraId="0CAF8F1A" w14:textId="77777777" w:rsidR="00243FDB" w:rsidRPr="008F6024" w:rsidRDefault="00F31EF6">
      <w:pPr>
        <w:ind w:left="360"/>
      </w:pPr>
      <w:r>
        <w:rPr>
          <w:b/>
          <w:bCs/>
        </w:rPr>
        <w:t>Activity Risk Assessments</w:t>
      </w:r>
    </w:p>
    <w:p w14:paraId="2A4E6D1D" w14:textId="0359BAF7" w:rsidR="00243FDB" w:rsidRPr="008F6024" w:rsidRDefault="00F31EF6" w:rsidP="008F6024">
      <w:pPr>
        <w:ind w:left="360"/>
      </w:pPr>
      <w:r>
        <w:t>A written risk assessment must be completed before any off-site activity, educational visit, or new activity takes place. Activity risk assessments are approved by the Headteacher before the activity proceeds.</w:t>
      </w:r>
    </w:p>
    <w:p w14:paraId="1DBCC814" w14:textId="77777777" w:rsidR="00243FDB" w:rsidRPr="008F6024" w:rsidRDefault="00F31EF6">
      <w:pPr>
        <w:ind w:left="360"/>
      </w:pPr>
      <w:r>
        <w:rPr>
          <w:b/>
          <w:bCs/>
        </w:rPr>
        <w:t>Individual Risk Assessments</w:t>
      </w:r>
    </w:p>
    <w:p w14:paraId="39BBE80F" w14:textId="611A46CC" w:rsidR="00243FDB" w:rsidRPr="00175795" w:rsidRDefault="00F31EF6" w:rsidP="00175795">
      <w:pPr>
        <w:ind w:left="360"/>
      </w:pPr>
      <w:r>
        <w:t>Where a young person's needs, behaviour or presentation presents a specific risk to themselves or others, an individual risk assessment will be completed. Individual risk assessments are developed collaboratively with the young person's residential provider.</w:t>
      </w:r>
    </w:p>
    <w:p w14:paraId="78C26BA0" w14:textId="77777777" w:rsidR="00243FDB" w:rsidRPr="00324ED2" w:rsidRDefault="00F31EF6">
      <w:pPr>
        <w:ind w:left="360"/>
      </w:pPr>
      <w:r>
        <w:rPr>
          <w:b/>
          <w:bCs/>
        </w:rPr>
        <w:t>Dynamic Risk Assessment</w:t>
      </w:r>
    </w:p>
    <w:p w14:paraId="55A7D3B5" w14:textId="77777777" w:rsidR="00243FDB" w:rsidRDefault="00F31EF6">
      <w:pPr>
        <w:ind w:left="360"/>
      </w:pPr>
      <w:r>
        <w:t>Staff are trained to conduct dynamic risk assessments in real time, particularly when working with young people whose presentation may change rapidly. Dynamic risk assessment does not replace written risk assessment but supplements it in live situations.</w:t>
      </w:r>
    </w:p>
    <w:p w14:paraId="5C5ACA74" w14:textId="77777777" w:rsidR="00FE7778" w:rsidRPr="00324ED2" w:rsidRDefault="00FE7778">
      <w:pPr>
        <w:ind w:left="360"/>
      </w:pPr>
    </w:p>
    <w:p w14:paraId="2271A6E4" w14:textId="77777777"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5. Risk Assessment Process</w:t>
      </w:r>
    </w:p>
    <w:p w14:paraId="7D1C2E06" w14:textId="77777777" w:rsidR="00243FDB" w:rsidRPr="00FE7778" w:rsidRDefault="00F31EF6">
      <w:pPr>
        <w:ind w:left="360"/>
      </w:pPr>
      <w:r>
        <w:t>All formal risk assessments at The Greenhouse follow these steps:</w:t>
      </w:r>
    </w:p>
    <w:p w14:paraId="3D1E9B09" w14:textId="77777777" w:rsidR="00243FDB" w:rsidRDefault="00F31EF6">
      <w:pPr>
        <w:pStyle w:val="ListParagraph"/>
        <w:numPr>
          <w:ilvl w:val="0"/>
          <w:numId w:val="8"/>
        </w:numPr>
      </w:pPr>
      <w:r>
        <w:t>Identify the hazard</w:t>
      </w:r>
    </w:p>
    <w:p w14:paraId="5A2E6FAD" w14:textId="77777777" w:rsidR="00243FDB" w:rsidRDefault="00F31EF6">
      <w:pPr>
        <w:pStyle w:val="ListParagraph"/>
        <w:numPr>
          <w:ilvl w:val="0"/>
          <w:numId w:val="8"/>
        </w:numPr>
      </w:pPr>
      <w:r>
        <w:t>Identify who might be harmed and how</w:t>
      </w:r>
    </w:p>
    <w:p w14:paraId="427F1DA8" w14:textId="77777777" w:rsidR="00243FDB" w:rsidRDefault="00F31EF6">
      <w:pPr>
        <w:pStyle w:val="ListParagraph"/>
        <w:numPr>
          <w:ilvl w:val="0"/>
          <w:numId w:val="8"/>
        </w:numPr>
      </w:pPr>
      <w:r>
        <w:t>Assess the likelihood and severity of harm</w:t>
      </w:r>
    </w:p>
    <w:p w14:paraId="21A19FC2" w14:textId="77777777" w:rsidR="00243FDB" w:rsidRDefault="00F31EF6">
      <w:pPr>
        <w:pStyle w:val="ListParagraph"/>
        <w:numPr>
          <w:ilvl w:val="0"/>
          <w:numId w:val="8"/>
        </w:numPr>
      </w:pPr>
      <w:r>
        <w:t>Identify and implement control measures</w:t>
      </w:r>
    </w:p>
    <w:p w14:paraId="507A9444" w14:textId="77777777" w:rsidR="00243FDB" w:rsidRDefault="00F31EF6">
      <w:pPr>
        <w:pStyle w:val="ListParagraph"/>
        <w:numPr>
          <w:ilvl w:val="0"/>
          <w:numId w:val="8"/>
        </w:numPr>
      </w:pPr>
      <w:r>
        <w:t>Record the findings</w:t>
      </w:r>
    </w:p>
    <w:p w14:paraId="0996D6CA" w14:textId="77777777" w:rsidR="00243FDB" w:rsidRDefault="00F31EF6">
      <w:pPr>
        <w:pStyle w:val="ListParagraph"/>
        <w:numPr>
          <w:ilvl w:val="0"/>
          <w:numId w:val="8"/>
        </w:numPr>
      </w:pPr>
      <w:r>
        <w:t>Review and update as required</w:t>
      </w:r>
    </w:p>
    <w:p w14:paraId="3F836FBA" w14:textId="77777777" w:rsidR="00B671DF" w:rsidRDefault="00B671DF" w:rsidP="00B671DF">
      <w:pPr>
        <w:pStyle w:val="ListParagraph"/>
      </w:pPr>
    </w:p>
    <w:p w14:paraId="7ABAADF0" w14:textId="77777777"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6. Review and Monitoring</w:t>
      </w:r>
    </w:p>
    <w:p w14:paraId="66AFD6FB" w14:textId="77777777" w:rsidR="00243FDB" w:rsidRPr="00FE7778" w:rsidRDefault="00F31EF6">
      <w:pPr>
        <w:ind w:left="360"/>
      </w:pPr>
      <w:r>
        <w:t>All risk assessments are reviewed:</w:t>
      </w:r>
    </w:p>
    <w:p w14:paraId="02D752B3" w14:textId="77777777" w:rsidR="00243FDB" w:rsidRDefault="00F31EF6">
      <w:pPr>
        <w:pStyle w:val="ListParagraph"/>
        <w:numPr>
          <w:ilvl w:val="0"/>
          <w:numId w:val="8"/>
        </w:numPr>
      </w:pPr>
      <w:r>
        <w:t>At least annually</w:t>
      </w:r>
    </w:p>
    <w:p w14:paraId="55E74334" w14:textId="5A2033B8" w:rsidR="005B2866" w:rsidRDefault="005B2866">
      <w:pPr>
        <w:pStyle w:val="ListParagraph"/>
        <w:numPr>
          <w:ilvl w:val="0"/>
          <w:numId w:val="8"/>
        </w:numPr>
      </w:pPr>
      <w:r>
        <w:t>Prior to any offsite activity taking place</w:t>
      </w:r>
    </w:p>
    <w:p w14:paraId="10A79CE9" w14:textId="5C31FDAE" w:rsidR="00173347" w:rsidRDefault="009B7187">
      <w:pPr>
        <w:pStyle w:val="ListParagraph"/>
        <w:numPr>
          <w:ilvl w:val="0"/>
          <w:numId w:val="8"/>
        </w:numPr>
      </w:pPr>
      <w:r>
        <w:lastRenderedPageBreak/>
        <w:t>Prior to any on-site activity involving the use of tools, equipment, machinery, or materials that could present a risk of injury or harm</w:t>
      </w:r>
    </w:p>
    <w:p w14:paraId="198C45A4" w14:textId="77777777" w:rsidR="00243FDB" w:rsidRDefault="00F31EF6">
      <w:pPr>
        <w:pStyle w:val="ListParagraph"/>
        <w:numPr>
          <w:ilvl w:val="0"/>
          <w:numId w:val="8"/>
        </w:numPr>
      </w:pPr>
      <w:r>
        <w:t>Following any incident, accident or near miss</w:t>
      </w:r>
    </w:p>
    <w:p w14:paraId="3558694A" w14:textId="77777777" w:rsidR="00243FDB" w:rsidRDefault="00F31EF6">
      <w:pPr>
        <w:pStyle w:val="ListParagraph"/>
        <w:numPr>
          <w:ilvl w:val="0"/>
          <w:numId w:val="8"/>
        </w:numPr>
      </w:pPr>
      <w:r>
        <w:t>Whenever a significant change occurs in the environment, activity or cohort</w:t>
      </w:r>
    </w:p>
    <w:p w14:paraId="1BCC1C05" w14:textId="77777777" w:rsidR="00243FDB" w:rsidRPr="00695C09" w:rsidRDefault="00243FDB" w:rsidP="0076620D">
      <w:pPr>
        <w:rPr>
          <w:sz w:val="28"/>
          <w:szCs w:val="28"/>
        </w:rPr>
      </w:pPr>
    </w:p>
    <w:p w14:paraId="563CEEF1" w14:textId="77777777"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7. Related Policies</w:t>
      </w:r>
    </w:p>
    <w:p w14:paraId="7AA7813E" w14:textId="77777777" w:rsidR="00243FDB" w:rsidRPr="00153C0E" w:rsidRDefault="00F31EF6">
      <w:pPr>
        <w:ind w:left="360"/>
      </w:pPr>
      <w:r>
        <w:t>This policy must be read in conjunction with the following related policies:</w:t>
      </w:r>
    </w:p>
    <w:p w14:paraId="0716331E" w14:textId="77777777" w:rsidR="00243FDB" w:rsidRDefault="00F31EF6">
      <w:pPr>
        <w:pStyle w:val="ListParagraph"/>
        <w:numPr>
          <w:ilvl w:val="0"/>
          <w:numId w:val="8"/>
        </w:numPr>
      </w:pPr>
      <w:r>
        <w:t>Health and Safety Policy and Procedure</w:t>
      </w:r>
    </w:p>
    <w:p w14:paraId="79B3C8A8" w14:textId="77777777" w:rsidR="00243FDB" w:rsidRDefault="00F31EF6">
      <w:pPr>
        <w:pStyle w:val="ListParagraph"/>
        <w:numPr>
          <w:ilvl w:val="0"/>
          <w:numId w:val="8"/>
        </w:numPr>
      </w:pPr>
      <w:r>
        <w:t>Fire Safety Policy and Procedure</w:t>
      </w:r>
    </w:p>
    <w:p w14:paraId="0125CF2B" w14:textId="77777777" w:rsidR="00243FDB" w:rsidRDefault="00F31EF6">
      <w:pPr>
        <w:pStyle w:val="ListParagraph"/>
        <w:numPr>
          <w:ilvl w:val="0"/>
          <w:numId w:val="8"/>
        </w:numPr>
      </w:pPr>
      <w:r>
        <w:t>Lone Working Policy</w:t>
      </w:r>
    </w:p>
    <w:p w14:paraId="22895B19" w14:textId="77777777" w:rsidR="00243FDB" w:rsidRDefault="00F31EF6">
      <w:pPr>
        <w:pStyle w:val="ListParagraph"/>
        <w:numPr>
          <w:ilvl w:val="0"/>
          <w:numId w:val="8"/>
        </w:numPr>
      </w:pPr>
      <w:r>
        <w:t>Accident, Incident &amp; Near Miss Policy</w:t>
      </w:r>
    </w:p>
    <w:p w14:paraId="0A788396" w14:textId="77777777" w:rsidR="00243FDB" w:rsidRDefault="00F31EF6">
      <w:pPr>
        <w:pStyle w:val="ListParagraph"/>
        <w:numPr>
          <w:ilvl w:val="0"/>
          <w:numId w:val="8"/>
        </w:numPr>
      </w:pPr>
      <w:r>
        <w:t>Physical Intervention and Restrictive Practices Policy</w:t>
      </w:r>
    </w:p>
    <w:p w14:paraId="4C5CC4A1" w14:textId="77777777" w:rsidR="00243FDB" w:rsidRPr="00695C09" w:rsidRDefault="00243FDB">
      <w:pPr>
        <w:ind w:left="360"/>
        <w:rPr>
          <w:sz w:val="28"/>
          <w:szCs w:val="28"/>
        </w:rPr>
      </w:pPr>
    </w:p>
    <w:p w14:paraId="4B696B77" w14:textId="77777777" w:rsidR="00153C0E" w:rsidRPr="00153C0E" w:rsidRDefault="00153C0E" w:rsidP="00153C0E">
      <w:pPr>
        <w:ind w:left="360"/>
        <w:rPr>
          <w:sz w:val="28"/>
          <w:szCs w:val="28"/>
        </w:rPr>
      </w:pPr>
      <w:r>
        <w:rPr>
          <w:b/>
          <w:bCs/>
          <w:sz w:val="28"/>
          <w:szCs w:val="28"/>
          <w:lang w:val="en"/>
        </w:rPr>
        <w:t>This policy has been written by Fiona Conde (Headteacher) and approved</w:t>
      </w:r>
      <w:r>
        <w:rPr>
          <w:rFonts w:ascii="Arial" w:hAnsi="Arial" w:cs="Arial"/>
          <w:b/>
          <w:bCs/>
          <w:sz w:val="28"/>
          <w:szCs w:val="28"/>
          <w:lang w:val="en"/>
        </w:rPr>
        <w:t> </w:t>
      </w:r>
      <w:r>
        <w:rPr>
          <w:b/>
          <w:bCs/>
          <w:sz w:val="28"/>
          <w:szCs w:val="28"/>
          <w:lang w:val="en"/>
        </w:rPr>
        <w:t>by</w:t>
      </w:r>
      <w:r>
        <w:rPr>
          <w:rFonts w:ascii="Arial" w:hAnsi="Arial" w:cs="Arial"/>
          <w:b/>
          <w:bCs/>
          <w:sz w:val="28"/>
          <w:szCs w:val="28"/>
          <w:lang w:val="en"/>
        </w:rPr>
        <w:t> </w:t>
      </w:r>
      <w:r>
        <w:rPr>
          <w:b/>
          <w:bCs/>
          <w:sz w:val="28"/>
          <w:szCs w:val="28"/>
          <w:lang w:val="en"/>
        </w:rPr>
        <w:t>Jonathon Simpson</w:t>
      </w:r>
      <w:r>
        <w:rPr>
          <w:rFonts w:ascii="Arial" w:hAnsi="Arial" w:cs="Arial"/>
          <w:b/>
          <w:bCs/>
          <w:sz w:val="28"/>
          <w:szCs w:val="28"/>
          <w:lang w:val="en"/>
        </w:rPr>
        <w:t> </w:t>
      </w:r>
      <w:r>
        <w:rPr>
          <w:b/>
          <w:bCs/>
          <w:sz w:val="28"/>
          <w:szCs w:val="28"/>
          <w:lang w:val="en"/>
        </w:rPr>
        <w:t>(Business Director).</w:t>
      </w:r>
      <w:r>
        <w:rPr>
          <w:rFonts w:ascii="Arial" w:hAnsi="Arial" w:cs="Arial"/>
          <w:b/>
          <w:bCs/>
          <w:sz w:val="28"/>
          <w:szCs w:val="28"/>
        </w:rPr>
        <w:t> </w:t>
      </w:r>
      <w:r>
        <w:rPr>
          <w:sz w:val="28"/>
          <w:szCs w:val="28"/>
        </w:rPr>
        <w:t> </w:t>
      </w:r>
    </w:p>
    <w:p w14:paraId="264CA440" w14:textId="32B56774" w:rsidR="00153C0E" w:rsidRPr="00153C0E" w:rsidRDefault="00153C0E" w:rsidP="00153C0E">
      <w:pPr>
        <w:ind w:left="360"/>
        <w:rPr>
          <w:sz w:val="28"/>
          <w:szCs w:val="28"/>
        </w:rPr>
      </w:pPr>
      <w:r>
        <w:rPr>
          <w:noProof/>
          <w:sz w:val="28"/>
          <w:szCs w:val="28"/>
        </w:rPr>
        <w:drawing>
          <wp:inline distT="0" distB="0" distL="0" distR="0" wp14:anchorId="6AF4C654" wp14:editId="65D18A59">
            <wp:extent cx="1828800" cy="571500"/>
            <wp:effectExtent l="0" t="0" r="0" b="0"/>
            <wp:docPr id="570897054" name="Picture 2" descr="A black background with white spot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background with white spots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571500"/>
                    </a:xfrm>
                    <a:prstGeom prst="rect">
                      <a:avLst/>
                    </a:prstGeom>
                    <a:noFill/>
                    <a:ln>
                      <a:noFill/>
                    </a:ln>
                  </pic:spPr>
                </pic:pic>
              </a:graphicData>
            </a:graphic>
          </wp:inline>
        </w:drawing>
      </w:r>
      <w:r>
        <w:rPr>
          <w:rFonts w:ascii="Arial" w:hAnsi="Arial" w:cs="Arial"/>
          <w:b/>
          <w:bCs/>
          <w:sz w:val="28"/>
          <w:szCs w:val="28"/>
        </w:rPr>
        <w:t>  </w:t>
      </w:r>
      <w:r>
        <w:rPr>
          <w:sz w:val="28"/>
          <w:szCs w:val="28"/>
        </w:rPr>
        <w:t> </w:t>
      </w:r>
    </w:p>
    <w:p w14:paraId="6545F3EE" w14:textId="77777777" w:rsidR="00153C0E" w:rsidRPr="00153C0E" w:rsidRDefault="00153C0E" w:rsidP="00153C0E">
      <w:pPr>
        <w:ind w:left="360"/>
        <w:rPr>
          <w:sz w:val="28"/>
          <w:szCs w:val="28"/>
        </w:rPr>
      </w:pPr>
      <w:r>
        <w:rPr>
          <w:b/>
          <w:bCs/>
          <w:sz w:val="28"/>
          <w:szCs w:val="28"/>
          <w:lang w:val="en"/>
        </w:rPr>
        <w:t>Approval Date:</w:t>
      </w:r>
      <w:r>
        <w:rPr>
          <w:rFonts w:ascii="Arial" w:hAnsi="Arial" w:cs="Arial"/>
          <w:b/>
          <w:bCs/>
          <w:sz w:val="28"/>
          <w:szCs w:val="28"/>
          <w:lang w:val="en"/>
        </w:rPr>
        <w:t> </w:t>
      </w:r>
      <w:r>
        <w:rPr>
          <w:b/>
          <w:bCs/>
          <w:sz w:val="28"/>
          <w:szCs w:val="28"/>
          <w:lang w:val="en"/>
        </w:rPr>
        <w:t>June</w:t>
      </w:r>
      <w:r>
        <w:rPr>
          <w:rFonts w:ascii="Arial" w:hAnsi="Arial" w:cs="Arial"/>
          <w:b/>
          <w:bCs/>
          <w:sz w:val="28"/>
          <w:szCs w:val="28"/>
          <w:lang w:val="en"/>
        </w:rPr>
        <w:t> </w:t>
      </w:r>
      <w:r>
        <w:rPr>
          <w:b/>
          <w:bCs/>
          <w:sz w:val="28"/>
          <w:szCs w:val="28"/>
          <w:lang w:val="en"/>
        </w:rPr>
        <w:t>2026</w:t>
      </w:r>
      <w:r>
        <w:rPr>
          <w:sz w:val="28"/>
          <w:szCs w:val="28"/>
        </w:rPr>
        <w:t> </w:t>
      </w:r>
    </w:p>
    <w:p w14:paraId="47ABD2A5" w14:textId="77777777" w:rsidR="00153C0E" w:rsidRPr="00153C0E" w:rsidRDefault="00153C0E" w:rsidP="00153C0E">
      <w:pPr>
        <w:ind w:left="360"/>
        <w:rPr>
          <w:sz w:val="28"/>
          <w:szCs w:val="28"/>
        </w:rPr>
      </w:pPr>
      <w:r>
        <w:rPr>
          <w:b/>
          <w:bCs/>
          <w:sz w:val="28"/>
          <w:szCs w:val="28"/>
          <w:lang w:val="en"/>
        </w:rPr>
        <w:t>Review Date:</w:t>
      </w:r>
      <w:r>
        <w:rPr>
          <w:rFonts w:ascii="Arial" w:hAnsi="Arial" w:cs="Arial"/>
          <w:b/>
          <w:bCs/>
          <w:sz w:val="28"/>
          <w:szCs w:val="28"/>
          <w:lang w:val="en"/>
        </w:rPr>
        <w:t> </w:t>
      </w:r>
      <w:r>
        <w:rPr>
          <w:b/>
          <w:bCs/>
          <w:sz w:val="28"/>
          <w:szCs w:val="28"/>
          <w:lang w:val="en"/>
        </w:rPr>
        <w:t>June</w:t>
      </w:r>
      <w:r>
        <w:rPr>
          <w:rFonts w:ascii="Arial" w:hAnsi="Arial" w:cs="Arial"/>
          <w:b/>
          <w:bCs/>
          <w:sz w:val="28"/>
          <w:szCs w:val="28"/>
          <w:lang w:val="en"/>
        </w:rPr>
        <w:t> </w:t>
      </w:r>
      <w:r>
        <w:rPr>
          <w:b/>
          <w:bCs/>
          <w:sz w:val="28"/>
          <w:szCs w:val="28"/>
          <w:lang w:val="en"/>
        </w:rPr>
        <w:t>2027</w:t>
      </w:r>
      <w:r>
        <w:rPr>
          <w:rFonts w:ascii="Arial" w:hAnsi="Arial" w:cs="Arial"/>
          <w:b/>
          <w:bCs/>
          <w:sz w:val="28"/>
          <w:szCs w:val="28"/>
        </w:rPr>
        <w:t>  </w:t>
      </w:r>
      <w:r>
        <w:rPr>
          <w:sz w:val="28"/>
          <w:szCs w:val="28"/>
        </w:rPr>
        <w:t> </w:t>
      </w:r>
    </w:p>
    <w:p w14:paraId="5159E70F" w14:textId="32175B06" w:rsidR="00243FDB" w:rsidRPr="00695C09" w:rsidRDefault="00243FDB">
      <w:pPr>
        <w:ind w:left="360"/>
        <w:rPr>
          <w:sz w:val="28"/>
          <w:szCs w:val="28"/>
        </w:rPr>
      </w:pPr>
    </w:p>
    <w:sectPr w:rsidR="00243FDB" w:rsidRPr="00695C0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276" w:left="1440"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68BB8" w14:textId="77777777" w:rsidR="00487E75" w:rsidRDefault="00487E75">
      <w:pPr>
        <w:spacing w:after="0" w:line="240" w:lineRule="auto"/>
      </w:pPr>
      <w:r>
        <w:separator/>
      </w:r>
    </w:p>
  </w:endnote>
  <w:endnote w:type="continuationSeparator" w:id="0">
    <w:p w14:paraId="718C23F7" w14:textId="77777777" w:rsidR="00487E75" w:rsidRDefault="00487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0D11C" w14:textId="77777777" w:rsidR="00243FDB" w:rsidRDefault="00243F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664059"/>
      <w:docPartObj>
        <w:docPartGallery w:val="Page Numbers (Bottom of Page)"/>
        <w:docPartUnique/>
      </w:docPartObj>
    </w:sdtPr>
    <w:sdtEndPr/>
    <w:sdtContent>
      <w:p w14:paraId="0EF21F62" w14:textId="77777777" w:rsidR="00243FDB" w:rsidRDefault="00F31EF6">
        <w:pPr>
          <w:pStyle w:val="Footer"/>
          <w:jc w:val="right"/>
        </w:pPr>
        <w:r>
          <w:fldChar w:fldCharType="begin"/>
        </w:r>
        <w:r>
          <w:instrText xml:space="preserve"> PAGE </w:instrText>
        </w:r>
        <w:r>
          <w:fldChar w:fldCharType="separate"/>
        </w:r>
        <w:r>
          <w:t>12</w:t>
        </w:r>
        <w:r>
          <w:fldChar w:fldCharType="end"/>
        </w:r>
      </w:p>
    </w:sdtContent>
  </w:sdt>
  <w:p w14:paraId="79AAA8EC" w14:textId="77777777" w:rsidR="00243FDB" w:rsidRDefault="00243F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2693061"/>
      <w:docPartObj>
        <w:docPartGallery w:val="Page Numbers (Bottom of Page)"/>
        <w:docPartUnique/>
      </w:docPartObj>
    </w:sdtPr>
    <w:sdtEndPr/>
    <w:sdtContent>
      <w:p w14:paraId="45D7E90C" w14:textId="77777777" w:rsidR="00243FDB" w:rsidRDefault="00F31EF6">
        <w:pPr>
          <w:pStyle w:val="Footer"/>
          <w:jc w:val="right"/>
        </w:pPr>
        <w:r>
          <w:fldChar w:fldCharType="begin"/>
        </w:r>
        <w:r>
          <w:instrText xml:space="preserve"> PAGE </w:instrText>
        </w:r>
        <w:r>
          <w:fldChar w:fldCharType="separate"/>
        </w:r>
        <w:r>
          <w:t>1</w:t>
        </w:r>
        <w:r>
          <w:fldChar w:fldCharType="end"/>
        </w:r>
      </w:p>
    </w:sdtContent>
  </w:sdt>
  <w:p w14:paraId="071453F8" w14:textId="77777777" w:rsidR="00243FDB" w:rsidRDefault="00243F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C7C10" w14:textId="77777777" w:rsidR="00487E75" w:rsidRDefault="00487E75">
      <w:pPr>
        <w:spacing w:after="0" w:line="240" w:lineRule="auto"/>
      </w:pPr>
      <w:r>
        <w:separator/>
      </w:r>
    </w:p>
  </w:footnote>
  <w:footnote w:type="continuationSeparator" w:id="0">
    <w:p w14:paraId="5523D5EF" w14:textId="77777777" w:rsidR="00487E75" w:rsidRDefault="00487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730F7" w14:textId="77777777" w:rsidR="00243FDB" w:rsidRDefault="00243F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FD63F" w14:textId="77777777" w:rsidR="00243FDB" w:rsidRDefault="00243F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D6E6D" w14:textId="77777777" w:rsidR="00243FDB" w:rsidRDefault="00F31EF6">
    <w:pPr>
      <w:pStyle w:val="Header"/>
    </w:pPr>
    <w:r>
      <w:rPr>
        <w:noProof/>
      </w:rPr>
      <w:drawing>
        <wp:anchor distT="0" distB="0" distL="114300" distR="114300" simplePos="0" relativeHeight="5" behindDoc="1" locked="0" layoutInCell="0" allowOverlap="1" wp14:anchorId="353C3352" wp14:editId="6189A681">
          <wp:simplePos x="0" y="0"/>
          <wp:positionH relativeFrom="column">
            <wp:posOffset>-946785</wp:posOffset>
          </wp:positionH>
          <wp:positionV relativeFrom="paragraph">
            <wp:posOffset>-393065</wp:posOffset>
          </wp:positionV>
          <wp:extent cx="7624445" cy="819785"/>
          <wp:effectExtent l="0" t="0" r="0" b="0"/>
          <wp:wrapSquare wrapText="bothSides"/>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1"/>
                  <a:stretch>
                    <a:fillRect/>
                  </a:stretch>
                </pic:blipFill>
                <pic:spPr bwMode="auto">
                  <a:xfrm>
                    <a:off x="0" y="0"/>
                    <a:ext cx="7624445" cy="819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6B6"/>
    <w:multiLevelType w:val="multilevel"/>
    <w:tmpl w:val="8AB82F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620222B"/>
    <w:multiLevelType w:val="multilevel"/>
    <w:tmpl w:val="E8B61D2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8F964EF"/>
    <w:multiLevelType w:val="multilevel"/>
    <w:tmpl w:val="FFF021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7AC44A6"/>
    <w:multiLevelType w:val="multilevel"/>
    <w:tmpl w:val="8B060C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8C91BB8"/>
    <w:multiLevelType w:val="multilevel"/>
    <w:tmpl w:val="435EF1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B59418C"/>
    <w:multiLevelType w:val="multilevel"/>
    <w:tmpl w:val="8D7C6B36"/>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15:restartNumberingAfterBreak="0">
    <w:nsid w:val="30FF6443"/>
    <w:multiLevelType w:val="multilevel"/>
    <w:tmpl w:val="7944BFC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34473CEC"/>
    <w:multiLevelType w:val="multilevel"/>
    <w:tmpl w:val="B38CAEC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3BA74354"/>
    <w:multiLevelType w:val="multilevel"/>
    <w:tmpl w:val="47B6784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73FB406E"/>
    <w:multiLevelType w:val="multilevel"/>
    <w:tmpl w:val="051656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71865963">
    <w:abstractNumId w:val="7"/>
  </w:num>
  <w:num w:numId="2" w16cid:durableId="930360290">
    <w:abstractNumId w:val="0"/>
  </w:num>
  <w:num w:numId="3" w16cid:durableId="640622312">
    <w:abstractNumId w:val="8"/>
  </w:num>
  <w:num w:numId="4" w16cid:durableId="1081290719">
    <w:abstractNumId w:val="6"/>
  </w:num>
  <w:num w:numId="5" w16cid:durableId="430860776">
    <w:abstractNumId w:val="1"/>
  </w:num>
  <w:num w:numId="6" w16cid:durableId="1935704039">
    <w:abstractNumId w:val="2"/>
  </w:num>
  <w:num w:numId="7" w16cid:durableId="975110444">
    <w:abstractNumId w:val="4"/>
  </w:num>
  <w:num w:numId="8" w16cid:durableId="769936963">
    <w:abstractNumId w:val="3"/>
  </w:num>
  <w:num w:numId="9" w16cid:durableId="1622107781">
    <w:abstractNumId w:val="5"/>
  </w:num>
  <w:num w:numId="10" w16cid:durableId="4963060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FDB"/>
    <w:rsid w:val="000C58B8"/>
    <w:rsid w:val="00153C0E"/>
    <w:rsid w:val="00173347"/>
    <w:rsid w:val="00175795"/>
    <w:rsid w:val="00243FDB"/>
    <w:rsid w:val="00324ED2"/>
    <w:rsid w:val="004148C7"/>
    <w:rsid w:val="00487E75"/>
    <w:rsid w:val="005B2866"/>
    <w:rsid w:val="005F7306"/>
    <w:rsid w:val="00642FB1"/>
    <w:rsid w:val="00695C09"/>
    <w:rsid w:val="006C1F53"/>
    <w:rsid w:val="0076620D"/>
    <w:rsid w:val="008F6024"/>
    <w:rsid w:val="009B7187"/>
    <w:rsid w:val="00B671DF"/>
    <w:rsid w:val="00BF1F1F"/>
    <w:rsid w:val="00C17E50"/>
    <w:rsid w:val="00C52DC1"/>
    <w:rsid w:val="00E75CFA"/>
    <w:rsid w:val="00F31EF6"/>
    <w:rsid w:val="00F3600D"/>
    <w:rsid w:val="00FE143A"/>
    <w:rsid w:val="00FE7778"/>
    <w:rsid w:val="0B75E488"/>
    <w:rsid w:val="119F226F"/>
    <w:rsid w:val="430FBB3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2A24C"/>
  <w15:docId w15:val="{8E7360CA-96CA-4DFA-8E79-464DE2524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Heading1">
    <w:name w:val="heading 1"/>
    <w:basedOn w:val="Normal"/>
    <w:next w:val="Normal"/>
    <w:link w:val="Heading1Char"/>
    <w:uiPriority w:val="9"/>
    <w:qFormat/>
    <w:rsid w:val="005A01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01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01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01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01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01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01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01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01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A01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5A01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5A01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5A01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5A01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5A01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5A01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5A01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5A012B"/>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5A012B"/>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5A012B"/>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5A012B"/>
    <w:rPr>
      <w:i/>
      <w:iCs/>
      <w:color w:val="404040" w:themeColor="text1" w:themeTint="BF"/>
    </w:rPr>
  </w:style>
  <w:style w:type="character" w:styleId="IntenseEmphasis">
    <w:name w:val="Intense Emphasis"/>
    <w:basedOn w:val="DefaultParagraphFont"/>
    <w:uiPriority w:val="21"/>
    <w:qFormat/>
    <w:rsid w:val="005A012B"/>
    <w:rPr>
      <w:i/>
      <w:iCs/>
      <w:color w:val="0F4761" w:themeColor="accent1" w:themeShade="BF"/>
    </w:rPr>
  </w:style>
  <w:style w:type="character" w:customStyle="1" w:styleId="IntenseQuoteChar">
    <w:name w:val="Intense Quote Char"/>
    <w:basedOn w:val="DefaultParagraphFont"/>
    <w:link w:val="IntenseQuote"/>
    <w:uiPriority w:val="30"/>
    <w:qFormat/>
    <w:rsid w:val="005A012B"/>
    <w:rPr>
      <w:i/>
      <w:iCs/>
      <w:color w:val="0F4761" w:themeColor="accent1" w:themeShade="BF"/>
    </w:rPr>
  </w:style>
  <w:style w:type="character" w:styleId="IntenseReference">
    <w:name w:val="Intense Reference"/>
    <w:basedOn w:val="DefaultParagraphFont"/>
    <w:uiPriority w:val="32"/>
    <w:qFormat/>
    <w:rsid w:val="005A012B"/>
    <w:rPr>
      <w:b/>
      <w:bCs/>
      <w:smallCaps/>
      <w:color w:val="0F4761" w:themeColor="accent1" w:themeShade="BF"/>
      <w:spacing w:val="5"/>
    </w:rPr>
  </w:style>
  <w:style w:type="character" w:styleId="Hyperlink">
    <w:name w:val="Hyperlink"/>
    <w:basedOn w:val="DefaultParagraphFont"/>
    <w:uiPriority w:val="99"/>
    <w:unhideWhenUsed/>
    <w:rsid w:val="003871F6"/>
    <w:rPr>
      <w:color w:val="467886" w:themeColor="hyperlink"/>
      <w:u w:val="single"/>
    </w:rPr>
  </w:style>
  <w:style w:type="character" w:styleId="UnresolvedMention">
    <w:name w:val="Unresolved Mention"/>
    <w:basedOn w:val="DefaultParagraphFont"/>
    <w:uiPriority w:val="99"/>
    <w:semiHidden/>
    <w:unhideWhenUsed/>
    <w:qFormat/>
    <w:rsid w:val="003871F6"/>
    <w:rPr>
      <w:color w:val="605E5C"/>
      <w:shd w:val="clear" w:color="auto" w:fill="E1DFDD"/>
    </w:rPr>
  </w:style>
  <w:style w:type="character" w:styleId="Strong">
    <w:name w:val="Strong"/>
    <w:basedOn w:val="DefaultParagraphFont"/>
    <w:uiPriority w:val="22"/>
    <w:qFormat/>
    <w:rsid w:val="00A0206B"/>
    <w:rPr>
      <w:b/>
      <w:bCs/>
    </w:rPr>
  </w:style>
  <w:style w:type="character" w:customStyle="1" w:styleId="HeaderChar">
    <w:name w:val="Header Char"/>
    <w:basedOn w:val="DefaultParagraphFont"/>
    <w:link w:val="Header"/>
    <w:uiPriority w:val="99"/>
    <w:qFormat/>
    <w:rsid w:val="000017C2"/>
  </w:style>
  <w:style w:type="character" w:customStyle="1" w:styleId="FooterChar">
    <w:name w:val="Footer Char"/>
    <w:basedOn w:val="DefaultParagraphFont"/>
    <w:link w:val="Footer"/>
    <w:uiPriority w:val="99"/>
    <w:qFormat/>
    <w:rsid w:val="000017C2"/>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5A012B"/>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5A01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012B"/>
    <w:pPr>
      <w:spacing w:before="160"/>
      <w:jc w:val="center"/>
    </w:pPr>
    <w:rPr>
      <w:i/>
      <w:iCs/>
      <w:color w:val="404040" w:themeColor="text1" w:themeTint="BF"/>
    </w:rPr>
  </w:style>
  <w:style w:type="paragraph" w:styleId="ListParagraph">
    <w:name w:val="List Paragraph"/>
    <w:basedOn w:val="Normal"/>
    <w:uiPriority w:val="34"/>
    <w:qFormat/>
    <w:rsid w:val="005A012B"/>
    <w:pPr>
      <w:ind w:left="720"/>
      <w:contextualSpacing/>
    </w:pPr>
  </w:style>
  <w:style w:type="paragraph" w:styleId="IntenseQuote">
    <w:name w:val="Intense Quote"/>
    <w:basedOn w:val="Normal"/>
    <w:next w:val="Normal"/>
    <w:link w:val="IntenseQuoteChar"/>
    <w:uiPriority w:val="30"/>
    <w:qFormat/>
    <w:rsid w:val="005A01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NoSpacing">
    <w:name w:val="No Spacing"/>
    <w:uiPriority w:val="1"/>
    <w:qFormat/>
    <w:rsid w:val="00820467"/>
  </w:style>
  <w:style w:type="paragraph" w:styleId="NormalWeb">
    <w:name w:val="Normal (Web)"/>
    <w:basedOn w:val="Normal"/>
    <w:uiPriority w:val="99"/>
    <w:semiHidden/>
    <w:unhideWhenUsed/>
    <w:qFormat/>
    <w:rsid w:val="00A0206B"/>
    <w:pPr>
      <w:spacing w:beforeAutospacing="1" w:afterAutospacing="1" w:line="240" w:lineRule="auto"/>
    </w:pPr>
    <w:rPr>
      <w:rFonts w:ascii="Times New Roman" w:eastAsia="Times New Roman" w:hAnsi="Times New Roman" w:cs="Times New Roman"/>
      <w:kern w:val="0"/>
      <w:lang w:eastAsia="en-GB"/>
      <w14:ligatures w14:val="none"/>
    </w:rPr>
  </w:style>
  <w:style w:type="paragraph" w:customStyle="1" w:styleId="HeaderandFooter">
    <w:name w:val="Header and Footer"/>
    <w:basedOn w:val="Normal"/>
    <w:qFormat/>
  </w:style>
  <w:style w:type="paragraph" w:styleId="Header">
    <w:name w:val="header"/>
    <w:basedOn w:val="Normal"/>
    <w:link w:val="HeaderChar"/>
    <w:uiPriority w:val="99"/>
    <w:unhideWhenUsed/>
    <w:rsid w:val="000017C2"/>
    <w:pPr>
      <w:tabs>
        <w:tab w:val="center" w:pos="4513"/>
        <w:tab w:val="right" w:pos="9026"/>
      </w:tabs>
      <w:spacing w:after="0" w:line="240" w:lineRule="auto"/>
    </w:pPr>
  </w:style>
  <w:style w:type="paragraph" w:styleId="Footer">
    <w:name w:val="footer"/>
    <w:basedOn w:val="Normal"/>
    <w:link w:val="FooterChar"/>
    <w:uiPriority w:val="99"/>
    <w:unhideWhenUsed/>
    <w:rsid w:val="000017C2"/>
    <w:pPr>
      <w:tabs>
        <w:tab w:val="center" w:pos="4513"/>
        <w:tab w:val="right" w:pos="9026"/>
      </w:tabs>
      <w:spacing w:after="0" w:line="240" w:lineRule="auto"/>
    </w:pPr>
  </w:style>
  <w:style w:type="table" w:styleId="TableGrid">
    <w:name w:val="Table Grid"/>
    <w:basedOn w:val="TableNormal"/>
    <w:uiPriority w:val="39"/>
    <w:rsid w:val="005A0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c5df54-bcd0-4751-a418-23e62e931dd3" xsi:nil="true"/>
    <lcf76f155ced4ddcb4097134ff3c332f xmlns="0989e5d0-fa9d-4c85-9180-d9786a41b9f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E073E69E10BA42B38A14E118F3DF5D" ma:contentTypeVersion="15" ma:contentTypeDescription="Create a new document." ma:contentTypeScope="" ma:versionID="5288f70172412d42722a46b748af749d">
  <xsd:schema xmlns:xsd="http://www.w3.org/2001/XMLSchema" xmlns:xs="http://www.w3.org/2001/XMLSchema" xmlns:p="http://schemas.microsoft.com/office/2006/metadata/properties" xmlns:ns2="0989e5d0-fa9d-4c85-9180-d9786a41b9f8" xmlns:ns3="61c5df54-bcd0-4751-a418-23e62e931dd3" targetNamespace="http://schemas.microsoft.com/office/2006/metadata/properties" ma:root="true" ma:fieldsID="f1ba2cfdd0f0f18dc97860b6b14e810d" ns2:_="" ns3:_="">
    <xsd:import namespace="0989e5d0-fa9d-4c85-9180-d9786a41b9f8"/>
    <xsd:import namespace="61c5df54-bcd0-4751-a418-23e62e931d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9e5d0-fa9d-4c85-9180-d9786a41b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b76e3b-9072-4022-9154-751f395ecd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c5df54-bcd0-4751-a418-23e62e931dd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6178597-0ed0-405a-80d4-24cb7a35eabd}" ma:internalName="TaxCatchAll" ma:showField="CatchAllData" ma:web="61c5df54-bcd0-4751-a418-23e62e931d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FA94C5-6D80-4807-A90E-73DE772F363C}">
  <ds:schemaRefs>
    <ds:schemaRef ds:uri="http://schemas.microsoft.com/office/2006/metadata/properties"/>
    <ds:schemaRef ds:uri="http://schemas.microsoft.com/office/infopath/2007/PartnerControls"/>
    <ds:schemaRef ds:uri="61c5df54-bcd0-4751-a418-23e62e931dd3"/>
    <ds:schemaRef ds:uri="0989e5d0-fa9d-4c85-9180-d9786a41b9f8"/>
  </ds:schemaRefs>
</ds:datastoreItem>
</file>

<file path=customXml/itemProps2.xml><?xml version="1.0" encoding="utf-8"?>
<ds:datastoreItem xmlns:ds="http://schemas.openxmlformats.org/officeDocument/2006/customXml" ds:itemID="{A979589C-67B4-481B-8013-2C8F657BC240}">
  <ds:schemaRefs>
    <ds:schemaRef ds:uri="http://schemas.microsoft.com/sharepoint/v3/contenttype/forms"/>
  </ds:schemaRefs>
</ds:datastoreItem>
</file>

<file path=customXml/itemProps3.xml><?xml version="1.0" encoding="utf-8"?>
<ds:datastoreItem xmlns:ds="http://schemas.openxmlformats.org/officeDocument/2006/customXml" ds:itemID="{5F10A2E2-32DE-4F3B-A47E-0B743974C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9e5d0-fa9d-4c85-9180-d9786a41b9f8"/>
    <ds:schemaRef ds:uri="61c5df54-bcd0-4751-a418-23e62e931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581</Words>
  <Characters>3313</Characters>
  <Application>Microsoft Office Word</Application>
  <DocSecurity>0</DocSecurity>
  <Lines>27</Lines>
  <Paragraphs>7</Paragraphs>
  <ScaleCrop>false</ScaleCrop>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CONDE, Fiona</dc:creator>
  <dc:description/>
  <cp:lastModifiedBy>CONDE, Fiona</cp:lastModifiedBy>
  <cp:revision>2</cp:revision>
  <dcterms:created xsi:type="dcterms:W3CDTF">2026-07-21T12:11:00Z</dcterms:created>
  <dcterms:modified xsi:type="dcterms:W3CDTF">2026-07-21T12:11:00Z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0x010100FDE073E69E10BA42B38A14E118F3DF5D</vt:lpwstr>
  </property>
  <property fmtid="{D5CDD505-2E9C-101B-9397-08002B2CF9AE}" pid="3" name="MediaServiceImageTags">
    <vt:lpwstr/>
  </property>
</Properties>
</file>