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6BC25" w14:textId="77777777" w:rsidR="00243FDB" w:rsidRDefault="00243FDB">
      <w:pPr>
        <w:spacing w:after="120" w:line="360" w:lineRule="auto"/>
        <w:jc w:val="center"/>
      </w:pPr>
    </w:p>
    <w:p w14:paraId="53BC9242" w14:textId="77777777" w:rsidR="00243FDB" w:rsidRDefault="00243FDB">
      <w:pPr>
        <w:spacing w:after="120" w:line="360" w:lineRule="auto"/>
        <w:jc w:val="center"/>
      </w:pPr>
    </w:p>
    <w:p w14:paraId="0443DE5F" w14:textId="77777777" w:rsidR="00243FDB" w:rsidRDefault="00F31EF6">
      <w:pPr>
        <w:spacing w:after="120" w:line="360" w:lineRule="auto"/>
        <w:jc w:val="center"/>
      </w:pPr>
      <w:r>
        <w:rPr>
          <w:noProof/>
        </w:rPr>
        <w:drawing>
          <wp:inline distT="0" distB="0" distL="0" distR="0" wp14:anchorId="10A7F2C4" wp14:editId="1618F783">
            <wp:extent cx="5657215" cy="338963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pic:cNvPicPr>
                      <a:picLocks noChangeAspect="1" noChangeArrowheads="1"/>
                    </pic:cNvPicPr>
                  </pic:nvPicPr>
                  <pic:blipFill>
                    <a:blip r:embed="rId10"/>
                    <a:stretch>
                      <a:fillRect/>
                    </a:stretch>
                  </pic:blipFill>
                  <pic:spPr bwMode="auto">
                    <a:xfrm>
                      <a:off x="0" y="0"/>
                      <a:ext cx="5657215" cy="3389630"/>
                    </a:xfrm>
                    <a:prstGeom prst="rect">
                      <a:avLst/>
                    </a:prstGeom>
                  </pic:spPr>
                </pic:pic>
              </a:graphicData>
            </a:graphic>
          </wp:inline>
        </w:drawing>
      </w:r>
    </w:p>
    <w:p w14:paraId="3AB6A7AC" w14:textId="77777777" w:rsidR="00243FDB" w:rsidRDefault="00243FDB">
      <w:pPr>
        <w:spacing w:after="120" w:line="360" w:lineRule="auto"/>
        <w:jc w:val="center"/>
        <w:rPr>
          <w:rFonts w:asciiTheme="majorHAnsi" w:hAnsiTheme="majorHAnsi"/>
          <w:b/>
          <w:bCs/>
          <w:color w:val="002060"/>
          <w:sz w:val="56"/>
          <w:szCs w:val="56"/>
        </w:rPr>
      </w:pPr>
    </w:p>
    <w:p w14:paraId="0C4B3E11" w14:textId="77777777" w:rsidR="00243FDB" w:rsidRDefault="00F31EF6">
      <w:pPr>
        <w:spacing w:after="120" w:line="360" w:lineRule="auto"/>
        <w:jc w:val="center"/>
        <w:rPr>
          <w:rFonts w:asciiTheme="majorHAnsi" w:hAnsiTheme="majorHAnsi"/>
          <w:b/>
          <w:bCs/>
          <w:color w:val="002060"/>
          <w:sz w:val="56"/>
          <w:szCs w:val="56"/>
        </w:rPr>
      </w:pPr>
      <w:r>
        <w:rPr>
          <w:rFonts w:asciiTheme="majorHAnsi" w:hAnsiTheme="majorHAnsi"/>
          <w:b/>
          <w:bCs/>
          <w:color w:val="002060"/>
          <w:sz w:val="56"/>
          <w:szCs w:val="56"/>
        </w:rPr>
        <w:t>Telford Court</w:t>
      </w:r>
    </w:p>
    <w:p w14:paraId="3D98B7B7" w14:textId="77777777" w:rsidR="00243FDB" w:rsidRDefault="00243FDB">
      <w:pPr>
        <w:spacing w:after="120" w:line="360" w:lineRule="auto"/>
        <w:jc w:val="center"/>
        <w:rPr>
          <w:rFonts w:asciiTheme="majorHAnsi" w:hAnsiTheme="majorHAnsi"/>
          <w:b/>
          <w:bCs/>
          <w:color w:val="002060"/>
          <w:sz w:val="44"/>
          <w:szCs w:val="44"/>
        </w:rPr>
      </w:pPr>
    </w:p>
    <w:p w14:paraId="26CCC165" w14:textId="77777777" w:rsidR="00243FDB" w:rsidRDefault="00F31EF6">
      <w:pPr>
        <w:spacing w:after="120" w:line="360" w:lineRule="auto"/>
        <w:jc w:val="center"/>
        <w:rPr>
          <w:rFonts w:asciiTheme="majorHAnsi" w:hAnsiTheme="majorHAnsi"/>
          <w:b/>
          <w:bCs/>
          <w:color w:val="002060"/>
          <w:sz w:val="48"/>
          <w:szCs w:val="48"/>
        </w:rPr>
      </w:pPr>
      <w:r>
        <w:rPr>
          <w:rFonts w:asciiTheme="majorHAnsi" w:hAnsiTheme="majorHAnsi"/>
          <w:b/>
          <w:bCs/>
          <w:color w:val="002060"/>
          <w:sz w:val="48"/>
          <w:szCs w:val="48"/>
        </w:rPr>
        <w:t>SEND Policy</w:t>
      </w:r>
    </w:p>
    <w:p w14:paraId="18241856" w14:textId="25C24AFB" w:rsidR="00243FDB" w:rsidRDefault="00F31EF6" w:rsidP="430FBB38">
      <w:pPr>
        <w:spacing w:after="120" w:line="360" w:lineRule="auto"/>
        <w:jc w:val="center"/>
        <w:rPr>
          <w:rFonts w:asciiTheme="majorHAnsi" w:hAnsiTheme="majorHAnsi"/>
          <w:b/>
          <w:bCs/>
          <w:color w:val="002060"/>
          <w:sz w:val="48"/>
          <w:szCs w:val="48"/>
        </w:rPr>
      </w:pPr>
      <w:r>
        <w:rPr>
          <w:rFonts w:asciiTheme="majorHAnsi" w:hAnsiTheme="majorHAnsi"/>
          <w:b/>
          <w:bCs/>
          <w:color w:val="002060"/>
          <w:sz w:val="48"/>
          <w:szCs w:val="48"/>
        </w:rPr>
        <w:t>2026-2027</w:t>
      </w:r>
    </w:p>
    <w:p w14:paraId="3BC64A26" w14:textId="77777777" w:rsidR="00243FDB" w:rsidRDefault="00243FDB">
      <w:pPr>
        <w:rPr>
          <w:rFonts w:asciiTheme="majorHAnsi" w:hAnsiTheme="majorHAnsi"/>
          <w:b/>
          <w:bCs/>
          <w:color w:val="002060"/>
          <w:sz w:val="72"/>
          <w:szCs w:val="72"/>
        </w:rPr>
      </w:pPr>
    </w:p>
    <w:p w14:paraId="270568D4" w14:textId="77777777" w:rsidR="00243FDB" w:rsidRPr="00695C09" w:rsidRDefault="00F31EF6">
      <w:pPr>
        <w:ind w:left="360"/>
        <w:rPr>
          <w:sz w:val="28"/>
          <w:szCs w:val="28"/>
        </w:rPr>
      </w:pPr>
      <w:r>
        <w:br w:type="page"/>
      </w:r>
    </w:p>
    <w:p w14:paraId="4A02021A" w14:textId="77777777" w:rsidR="00243FDB" w:rsidRPr="00695C09" w:rsidRDefault="00F31EF6">
      <w:pPr>
        <w:ind w:left="360"/>
        <w:rPr>
          <w:sz w:val="28"/>
          <w:szCs w:val="28"/>
        </w:rPr>
      </w:pPr>
      <w:r>
        <w:rPr>
          <w:b/>
          <w:bCs/>
          <w:color w:val="002060"/>
          <w:sz w:val="32"/>
          <w:szCs w:val="32"/>
        </w:rPr>
        <w:lastRenderedPageBreak/>
        <w:t>Contents</w:t>
      </w:r>
    </w:p>
    <w:p w14:paraId="4A176A86" w14:textId="77777777" w:rsidR="00243FDB" w:rsidRPr="00695C09" w:rsidRDefault="00F31EF6">
      <w:pPr>
        <w:ind w:left="360"/>
        <w:rPr>
          <w:sz w:val="28"/>
          <w:szCs w:val="28"/>
        </w:rPr>
      </w:pPr>
      <w:r>
        <w:rPr>
          <w:sz w:val="28"/>
          <w:szCs w:val="28"/>
        </w:rPr>
        <w:t>1. Policy Statement</w:t>
      </w:r>
    </w:p>
    <w:p w14:paraId="7F5E70AA" w14:textId="77777777" w:rsidR="00243FDB" w:rsidRPr="00695C09" w:rsidRDefault="00F31EF6">
      <w:pPr>
        <w:ind w:left="360"/>
        <w:rPr>
          <w:sz w:val="28"/>
          <w:szCs w:val="28"/>
        </w:rPr>
      </w:pPr>
      <w:r>
        <w:rPr>
          <w:sz w:val="28"/>
          <w:szCs w:val="28"/>
        </w:rPr>
        <w:t>2. Legal Framework</w:t>
      </w:r>
    </w:p>
    <w:p w14:paraId="65152FBA" w14:textId="77777777" w:rsidR="00243FDB" w:rsidRPr="00695C09" w:rsidRDefault="00F31EF6">
      <w:pPr>
        <w:ind w:left="360"/>
        <w:rPr>
          <w:sz w:val="28"/>
          <w:szCs w:val="28"/>
        </w:rPr>
      </w:pPr>
      <w:r>
        <w:rPr>
          <w:sz w:val="28"/>
          <w:szCs w:val="28"/>
        </w:rPr>
        <w:t>3. Roles and Responsibilities</w:t>
      </w:r>
    </w:p>
    <w:p w14:paraId="78D4EA14" w14:textId="77777777" w:rsidR="00243FDB" w:rsidRPr="00695C09" w:rsidRDefault="00F31EF6">
      <w:pPr>
        <w:ind w:left="360"/>
        <w:rPr>
          <w:sz w:val="28"/>
          <w:szCs w:val="28"/>
        </w:rPr>
      </w:pPr>
      <w:r>
        <w:rPr>
          <w:sz w:val="28"/>
          <w:szCs w:val="28"/>
        </w:rPr>
        <w:t>4. Identification of SEND</w:t>
      </w:r>
    </w:p>
    <w:p w14:paraId="1B24F69B" w14:textId="77777777" w:rsidR="00243FDB" w:rsidRPr="00695C09" w:rsidRDefault="00F31EF6">
      <w:pPr>
        <w:ind w:left="360"/>
        <w:rPr>
          <w:sz w:val="28"/>
          <w:szCs w:val="28"/>
        </w:rPr>
      </w:pPr>
      <w:r>
        <w:rPr>
          <w:sz w:val="28"/>
          <w:szCs w:val="28"/>
        </w:rPr>
        <w:t>5. EHCP and IDP Implementation and Review</w:t>
      </w:r>
    </w:p>
    <w:p w14:paraId="74155D2A" w14:textId="77777777" w:rsidR="00243FDB" w:rsidRPr="00695C09" w:rsidRDefault="00F31EF6">
      <w:pPr>
        <w:ind w:left="360"/>
        <w:rPr>
          <w:sz w:val="28"/>
          <w:szCs w:val="28"/>
        </w:rPr>
      </w:pPr>
      <w:r>
        <w:rPr>
          <w:sz w:val="28"/>
          <w:szCs w:val="28"/>
        </w:rPr>
        <w:t>6. Provision and Support</w:t>
      </w:r>
    </w:p>
    <w:p w14:paraId="72A411AF" w14:textId="77777777" w:rsidR="00243FDB" w:rsidRPr="00695C09" w:rsidRDefault="00F31EF6">
      <w:pPr>
        <w:ind w:left="360"/>
        <w:rPr>
          <w:sz w:val="28"/>
          <w:szCs w:val="28"/>
        </w:rPr>
      </w:pPr>
      <w:r>
        <w:rPr>
          <w:sz w:val="28"/>
          <w:szCs w:val="28"/>
        </w:rPr>
        <w:t>7. Personal Education Plans (PEPs)</w:t>
      </w:r>
    </w:p>
    <w:p w14:paraId="1B47697A" w14:textId="77777777" w:rsidR="00243FDB" w:rsidRPr="00695C09" w:rsidRDefault="00F31EF6">
      <w:pPr>
        <w:ind w:left="360"/>
        <w:rPr>
          <w:sz w:val="28"/>
          <w:szCs w:val="28"/>
        </w:rPr>
      </w:pPr>
      <w:r>
        <w:rPr>
          <w:sz w:val="28"/>
          <w:szCs w:val="28"/>
        </w:rPr>
        <w:t>8. Equality and Inclusion</w:t>
      </w:r>
    </w:p>
    <w:p w14:paraId="1DA62D63" w14:textId="77777777" w:rsidR="00243FDB" w:rsidRPr="00695C09" w:rsidRDefault="00F31EF6">
      <w:pPr>
        <w:ind w:left="360"/>
        <w:rPr>
          <w:sz w:val="28"/>
          <w:szCs w:val="28"/>
        </w:rPr>
      </w:pPr>
      <w:r>
        <w:rPr>
          <w:sz w:val="28"/>
          <w:szCs w:val="28"/>
        </w:rPr>
        <w:t>9. Monitoring and Review</w:t>
      </w:r>
    </w:p>
    <w:p w14:paraId="0B27EE0F" w14:textId="77777777" w:rsidR="00243FDB" w:rsidRPr="00695C09" w:rsidRDefault="00F31EF6">
      <w:pPr>
        <w:ind w:left="360"/>
        <w:rPr>
          <w:sz w:val="28"/>
          <w:szCs w:val="28"/>
        </w:rPr>
      </w:pPr>
      <w:r>
        <w:rPr>
          <w:sz w:val="28"/>
          <w:szCs w:val="28"/>
        </w:rPr>
        <w:t>10. Related Policies</w:t>
      </w:r>
    </w:p>
    <w:p w14:paraId="7643E1A5" w14:textId="77777777" w:rsidR="00243FDB" w:rsidRDefault="00F31EF6" w:rsidP="430FBB38">
      <w:pPr>
        <w:pageBreakBefore/>
        <w:spacing w:after="120" w:line="360" w:lineRule="auto"/>
        <w:rPr>
          <w:rFonts w:asciiTheme="majorHAnsi" w:hAnsiTheme="majorHAnsi"/>
          <w:b/>
          <w:bCs/>
          <w:color w:val="002060"/>
          <w:sz w:val="48"/>
          <w:szCs w:val="48"/>
        </w:rPr>
      </w:pPr>
      <w:r>
        <w:rPr>
          <w:rFonts w:asciiTheme="majorHAnsi" w:hAnsiTheme="majorHAnsi"/>
          <w:b/>
          <w:bCs/>
          <w:color w:val="002060"/>
          <w:sz w:val="28"/>
          <w:szCs w:val="28"/>
        </w:rPr>
        <w:lastRenderedPageBreak/>
        <w:t>1. Policy Statement</w:t>
      </w:r>
    </w:p>
    <w:p w14:paraId="6A020A38" w14:textId="2F357E06" w:rsidR="00243FDB" w:rsidRPr="00831918" w:rsidRDefault="00F31EF6" w:rsidP="00831918">
      <w:pPr>
        <w:ind w:left="360"/>
      </w:pPr>
      <w:r>
        <w:t>The Greenhouse HyFlex Academy is committed to meeting the needs of all young people aged 11 to 19 with special educational needs and disabilities (SEND). The Greenhouse's provision is, by its nature, needs-led and highly individualised. Every young person who attends The Greenhouse has a bespoke learning plan that reflects their strengths, needs, aspirations and any identified SEND.</w:t>
      </w:r>
    </w:p>
    <w:p w14:paraId="4F3FB71D" w14:textId="7B267AD3" w:rsidR="00243FDB" w:rsidRPr="00831918" w:rsidRDefault="00F31EF6" w:rsidP="00831918">
      <w:pPr>
        <w:ind w:left="360"/>
      </w:pPr>
      <w:r>
        <w:t xml:space="preserve">The Greenhouse is a non-school alternative provision setting. </w:t>
      </w:r>
      <w:proofErr w:type="gramStart"/>
      <w:r w:rsidR="00E503B2">
        <w:t>All of</w:t>
      </w:r>
      <w:proofErr w:type="gramEnd"/>
      <w:r w:rsidR="00E503B2">
        <w:t xml:space="preserve"> the</w:t>
      </w:r>
      <w:r>
        <w:t xml:space="preserve"> young people who attend have Education, Health and Care Plans (EHCPs) or</w:t>
      </w:r>
      <w:r w:rsidR="00E503B2">
        <w:t xml:space="preserve"> </w:t>
      </w:r>
      <w:r w:rsidR="00E503B2" w:rsidRPr="00E503B2">
        <w:t>Individual Development Plan</w:t>
      </w:r>
      <w:r w:rsidR="00E503B2" w:rsidRPr="00E503B2">
        <w:t>s</w:t>
      </w:r>
      <w:r>
        <w:t xml:space="preserve"> </w:t>
      </w:r>
      <w:r w:rsidR="00E503B2">
        <w:t>(</w:t>
      </w:r>
      <w:r>
        <w:t>IDPs</w:t>
      </w:r>
      <w:r w:rsidR="00E503B2">
        <w:t>)</w:t>
      </w:r>
      <w:r>
        <w:t>. SEND is not an add-on at The Greenhouse — it is central to how the provision operates.</w:t>
      </w:r>
    </w:p>
    <w:p w14:paraId="5A60A308" w14:textId="77777777" w:rsidR="00243FDB" w:rsidRDefault="00F31EF6">
      <w:pPr>
        <w:ind w:left="360"/>
      </w:pPr>
      <w:r>
        <w:t>This policy aligns with the DfE Non-School Alternative Provision Voluntary National Standards (August 2025) and the SEND Code of Practice: 0 to 25 years (2015, updated 2020).</w:t>
      </w:r>
    </w:p>
    <w:p w14:paraId="73DECA7B" w14:textId="77777777" w:rsidR="00842495" w:rsidRPr="00831918" w:rsidRDefault="00842495">
      <w:pPr>
        <w:ind w:left="360"/>
      </w:pPr>
    </w:p>
    <w:p w14:paraId="485B5F65"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2. Legal Framework</w:t>
      </w:r>
    </w:p>
    <w:p w14:paraId="74677856" w14:textId="77777777" w:rsidR="00243FDB" w:rsidRPr="00B243E9" w:rsidRDefault="00F31EF6">
      <w:pPr>
        <w:ind w:left="360"/>
      </w:pPr>
      <w:r>
        <w:t>This policy has regard to:</w:t>
      </w:r>
    </w:p>
    <w:p w14:paraId="23E9CC7B" w14:textId="77777777" w:rsidR="00243FDB" w:rsidRDefault="00F31EF6">
      <w:pPr>
        <w:pStyle w:val="ListParagraph"/>
        <w:numPr>
          <w:ilvl w:val="0"/>
          <w:numId w:val="8"/>
        </w:numPr>
      </w:pPr>
      <w:r>
        <w:t>Children and Families Act 2014</w:t>
      </w:r>
    </w:p>
    <w:p w14:paraId="4080627E" w14:textId="77777777" w:rsidR="00243FDB" w:rsidRDefault="00F31EF6">
      <w:pPr>
        <w:pStyle w:val="ListParagraph"/>
        <w:numPr>
          <w:ilvl w:val="0"/>
          <w:numId w:val="8"/>
        </w:numPr>
      </w:pPr>
      <w:r>
        <w:t>SEND Code of Practice: 0 to 25 years (2015, updated 2020)</w:t>
      </w:r>
    </w:p>
    <w:p w14:paraId="184F614E" w14:textId="77777777" w:rsidR="00243FDB" w:rsidRDefault="00F31EF6">
      <w:pPr>
        <w:pStyle w:val="ListParagraph"/>
        <w:numPr>
          <w:ilvl w:val="0"/>
          <w:numId w:val="8"/>
        </w:numPr>
      </w:pPr>
      <w:r>
        <w:t>Equality Act 2010</w:t>
      </w:r>
    </w:p>
    <w:p w14:paraId="3854A588" w14:textId="77777777" w:rsidR="00243FDB" w:rsidRDefault="00F31EF6">
      <w:pPr>
        <w:pStyle w:val="ListParagraph"/>
        <w:numPr>
          <w:ilvl w:val="0"/>
          <w:numId w:val="8"/>
        </w:numPr>
      </w:pPr>
      <w:r>
        <w:t>Education Act 1996</w:t>
      </w:r>
    </w:p>
    <w:p w14:paraId="225F3517" w14:textId="77777777" w:rsidR="00243FDB" w:rsidRDefault="00F31EF6">
      <w:pPr>
        <w:pStyle w:val="ListParagraph"/>
        <w:numPr>
          <w:ilvl w:val="0"/>
          <w:numId w:val="8"/>
        </w:numPr>
      </w:pPr>
      <w:r>
        <w:t>DfE Non-School Alternative Provision Voluntary National Standards (August 2025)</w:t>
      </w:r>
    </w:p>
    <w:p w14:paraId="39846F4C" w14:textId="77777777" w:rsidR="00243FDB" w:rsidRDefault="00F31EF6">
      <w:pPr>
        <w:pStyle w:val="ListParagraph"/>
        <w:numPr>
          <w:ilvl w:val="0"/>
          <w:numId w:val="8"/>
        </w:numPr>
      </w:pPr>
      <w:r>
        <w:t>Keeping Children Safe in Education (KCSIE) 2026</w:t>
      </w:r>
    </w:p>
    <w:p w14:paraId="28AE9C70" w14:textId="77777777" w:rsidR="00243FDB" w:rsidRDefault="00F31EF6">
      <w:pPr>
        <w:pStyle w:val="ListParagraph"/>
        <w:numPr>
          <w:ilvl w:val="0"/>
          <w:numId w:val="8"/>
        </w:numPr>
      </w:pPr>
      <w:r>
        <w:t>Care Act 2014</w:t>
      </w:r>
    </w:p>
    <w:p w14:paraId="28AE9C71" w14:textId="77777777" w:rsidR="00243FDB" w:rsidRDefault="00F31EF6">
      <w:pPr>
        <w:pStyle w:val="ListParagraph"/>
        <w:numPr>
          <w:ilvl w:val="0"/>
          <w:numId w:val="8"/>
        </w:numPr>
      </w:pPr>
      <w:r>
        <w:t>Additional Learning Needs and Education Tribunal (Wales) Act 2018</w:t>
      </w:r>
    </w:p>
    <w:p w14:paraId="6E1D8D84" w14:textId="77777777" w:rsidR="00B243E9" w:rsidRDefault="00B243E9" w:rsidP="00B243E9">
      <w:pPr>
        <w:pStyle w:val="ListParagraph"/>
      </w:pPr>
    </w:p>
    <w:p w14:paraId="4DB448C2"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3. Roles and Responsibilities</w:t>
      </w:r>
    </w:p>
    <w:p w14:paraId="07570B31" w14:textId="77777777" w:rsidR="00E503B2" w:rsidRPr="00B243E9" w:rsidRDefault="00E503B2" w:rsidP="00E503B2">
      <w:pPr>
        <w:ind w:left="360"/>
      </w:pPr>
      <w:r>
        <w:rPr>
          <w:b/>
          <w:bCs/>
        </w:rPr>
        <w:t>Headteacher</w:t>
      </w:r>
    </w:p>
    <w:p w14:paraId="31550E06" w14:textId="77777777" w:rsidR="00E503B2" w:rsidRPr="00B243E9" w:rsidRDefault="00E503B2" w:rsidP="00E503B2">
      <w:pPr>
        <w:ind w:left="360"/>
      </w:pPr>
      <w:r>
        <w:t>The Headteacher holds overall accountability for SEND provision and ensures that this policy is implemented consistently across The Greenhouse.</w:t>
      </w:r>
    </w:p>
    <w:p w14:paraId="18580CAD" w14:textId="7ECAE654" w:rsidR="00243FDB" w:rsidRPr="00B243E9" w:rsidRDefault="00F31EF6">
      <w:pPr>
        <w:ind w:left="360"/>
      </w:pPr>
      <w:r>
        <w:rPr>
          <w:b/>
          <w:bCs/>
        </w:rPr>
        <w:t>SENCO</w:t>
      </w:r>
    </w:p>
    <w:p w14:paraId="04EB064B" w14:textId="28610849" w:rsidR="00243FDB" w:rsidRPr="00B243E9" w:rsidRDefault="00B243E9">
      <w:pPr>
        <w:ind w:left="360"/>
      </w:pPr>
      <w:r>
        <w:t>The SENCO is responsible for:</w:t>
      </w:r>
    </w:p>
    <w:p w14:paraId="475D1CA0" w14:textId="77777777" w:rsidR="00243FDB" w:rsidRDefault="00F31EF6">
      <w:pPr>
        <w:pStyle w:val="ListParagraph"/>
        <w:numPr>
          <w:ilvl w:val="0"/>
          <w:numId w:val="8"/>
        </w:numPr>
      </w:pPr>
      <w:r>
        <w:t>Overseeing the identification, assessment and support of all young people with SEND</w:t>
      </w:r>
    </w:p>
    <w:p w14:paraId="5A1FF480" w14:textId="77777777" w:rsidR="00243FDB" w:rsidRDefault="00F31EF6">
      <w:pPr>
        <w:pStyle w:val="ListParagraph"/>
        <w:numPr>
          <w:ilvl w:val="0"/>
          <w:numId w:val="8"/>
        </w:numPr>
      </w:pPr>
      <w:r>
        <w:lastRenderedPageBreak/>
        <w:t>Ensuring all EHCPs and IDPs are implemented and reviewed in line with statutory timescales</w:t>
      </w:r>
    </w:p>
    <w:p w14:paraId="16F3AC31" w14:textId="77777777" w:rsidR="00243FDB" w:rsidRDefault="00F31EF6">
      <w:pPr>
        <w:pStyle w:val="ListParagraph"/>
        <w:numPr>
          <w:ilvl w:val="0"/>
          <w:numId w:val="8"/>
        </w:numPr>
      </w:pPr>
      <w:r>
        <w:t>Liaising with commissioning Local Authorities, virtual school heads, social workers and other professionals</w:t>
      </w:r>
    </w:p>
    <w:p w14:paraId="1D21978A" w14:textId="77777777" w:rsidR="00243FDB" w:rsidRDefault="00F31EF6">
      <w:pPr>
        <w:pStyle w:val="ListParagraph"/>
        <w:numPr>
          <w:ilvl w:val="0"/>
          <w:numId w:val="8"/>
        </w:numPr>
      </w:pPr>
      <w:r>
        <w:t>Supporting staff to adapt teaching and provision to meet individual SEND needs</w:t>
      </w:r>
    </w:p>
    <w:p w14:paraId="40AFF0E5" w14:textId="351F282D" w:rsidR="00243FDB" w:rsidRPr="00B243E9" w:rsidRDefault="00F31EF6" w:rsidP="00B243E9">
      <w:pPr>
        <w:pStyle w:val="ListParagraph"/>
        <w:numPr>
          <w:ilvl w:val="0"/>
          <w:numId w:val="8"/>
        </w:numPr>
      </w:pPr>
      <w:r>
        <w:t>Maintaining accurate SEND records for each young person</w:t>
      </w:r>
    </w:p>
    <w:p w14:paraId="727CCFB2" w14:textId="77777777" w:rsidR="00243FDB" w:rsidRPr="00B243E9" w:rsidRDefault="00F31EF6">
      <w:pPr>
        <w:ind w:left="360"/>
      </w:pPr>
      <w:r>
        <w:rPr>
          <w:b/>
          <w:bCs/>
        </w:rPr>
        <w:t>All Teaching Staff</w:t>
      </w:r>
    </w:p>
    <w:p w14:paraId="3938C38B" w14:textId="77777777" w:rsidR="00243FDB" w:rsidRDefault="00F31EF6">
      <w:pPr>
        <w:ind w:left="360"/>
      </w:pPr>
      <w:r>
        <w:t>All teaching staff are responsible for delivering high-quality, differentiated teaching that meets the needs of every young person. Staff work closely with the SENCO to understand and respond to individual SEND requirements.</w:t>
      </w:r>
    </w:p>
    <w:p w14:paraId="3CEF217F" w14:textId="77777777" w:rsidR="00FE20FE" w:rsidRPr="00B243E9" w:rsidRDefault="00FE20FE">
      <w:pPr>
        <w:ind w:left="360"/>
      </w:pPr>
    </w:p>
    <w:p w14:paraId="51B28A48"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4. Identification of SEND</w:t>
      </w:r>
    </w:p>
    <w:p w14:paraId="496FBD61" w14:textId="11E2A59A" w:rsidR="00243FDB" w:rsidRPr="00FE20FE" w:rsidRDefault="00F31EF6">
      <w:pPr>
        <w:ind w:left="360"/>
      </w:pPr>
      <w:r>
        <w:t xml:space="preserve">Young people arrive at The Greenhouse having already been identified as having needs that cannot be met in a mainstream or specialist school setting. On admission, the </w:t>
      </w:r>
      <w:r w:rsidR="00E503B2">
        <w:t xml:space="preserve">Headteacher and </w:t>
      </w:r>
      <w:r>
        <w:t>SENCO will:</w:t>
      </w:r>
    </w:p>
    <w:p w14:paraId="5EC1082E" w14:textId="77777777" w:rsidR="00243FDB" w:rsidRDefault="00F31EF6">
      <w:pPr>
        <w:pStyle w:val="ListParagraph"/>
        <w:numPr>
          <w:ilvl w:val="0"/>
          <w:numId w:val="8"/>
        </w:numPr>
      </w:pPr>
      <w:r>
        <w:t>Review all available documentation, including EHCPs, IDPs, previous assessments, school records and care plans</w:t>
      </w:r>
    </w:p>
    <w:p w14:paraId="2E63B3AA" w14:textId="77777777" w:rsidR="00243FDB" w:rsidRDefault="00F31EF6">
      <w:pPr>
        <w:pStyle w:val="ListParagraph"/>
        <w:numPr>
          <w:ilvl w:val="0"/>
          <w:numId w:val="8"/>
        </w:numPr>
      </w:pPr>
      <w:r>
        <w:t>Meet with the young person and, where appropriate, their carer or social worker</w:t>
      </w:r>
    </w:p>
    <w:p w14:paraId="41F04A43" w14:textId="77777777" w:rsidR="00243FDB" w:rsidRDefault="00F31EF6">
      <w:pPr>
        <w:pStyle w:val="ListParagraph"/>
        <w:numPr>
          <w:ilvl w:val="0"/>
          <w:numId w:val="8"/>
        </w:numPr>
      </w:pPr>
      <w:r>
        <w:t>Conduct or commission any additional assessments required to understand the young person's needs</w:t>
      </w:r>
    </w:p>
    <w:p w14:paraId="3B9F77D7" w14:textId="4383E858" w:rsidR="00243FDB" w:rsidRPr="00FE20FE" w:rsidRDefault="00F31EF6" w:rsidP="00FE20FE">
      <w:pPr>
        <w:pStyle w:val="ListParagraph"/>
        <w:numPr>
          <w:ilvl w:val="0"/>
          <w:numId w:val="8"/>
        </w:numPr>
      </w:pPr>
      <w:r>
        <w:t>Develop or contribute to the young person's bespoke learning plan</w:t>
      </w:r>
    </w:p>
    <w:p w14:paraId="6FC53C62" w14:textId="77777777" w:rsidR="00243FDB" w:rsidRDefault="00F31EF6">
      <w:pPr>
        <w:ind w:left="360"/>
      </w:pPr>
      <w:r>
        <w:t>Where a need is identified during a young person's time at The Greenhouse that was not previously recognised, the SENCO will initiate appropriate assessment and notify the commissioning Local Authority.</w:t>
      </w:r>
    </w:p>
    <w:p w14:paraId="4F6141DE" w14:textId="77777777" w:rsidR="00FE20FE" w:rsidRPr="00FE20FE" w:rsidRDefault="00FE20FE">
      <w:pPr>
        <w:ind w:left="360"/>
      </w:pPr>
    </w:p>
    <w:p w14:paraId="7CAA6E2A"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5. EHCP and IDP Implementation and Review</w:t>
      </w:r>
    </w:p>
    <w:p w14:paraId="3151371F" w14:textId="77777777" w:rsidR="00243FDB" w:rsidRPr="00FE20FE" w:rsidRDefault="00F31EF6">
      <w:pPr>
        <w:ind w:left="360"/>
      </w:pPr>
      <w:r>
        <w:t>Where a young person has an Education, Health and Care Plan (EHCP) or an Individual Development Plan (IDP), The Greenhouse is responsible for implementing the educational outcomes set out in the plan. The SENCO will:</w:t>
      </w:r>
    </w:p>
    <w:p w14:paraId="13BC6F77" w14:textId="77777777" w:rsidR="00243FDB" w:rsidRDefault="00F31EF6">
      <w:pPr>
        <w:pStyle w:val="ListParagraph"/>
        <w:numPr>
          <w:ilvl w:val="0"/>
          <w:numId w:val="8"/>
        </w:numPr>
      </w:pPr>
      <w:r>
        <w:t>Ensure all EHCP or IDP outcomes are incorporated into the young person's bespoke learning plan</w:t>
      </w:r>
    </w:p>
    <w:p w14:paraId="3F0CDB7B" w14:textId="77777777" w:rsidR="00243FDB" w:rsidRDefault="00F31EF6">
      <w:pPr>
        <w:pStyle w:val="ListParagraph"/>
        <w:numPr>
          <w:ilvl w:val="0"/>
          <w:numId w:val="8"/>
        </w:numPr>
      </w:pPr>
      <w:r>
        <w:t>Report on progress against EHCP or IDP outcomes as part of any statutory annual review</w:t>
      </w:r>
    </w:p>
    <w:p w14:paraId="6B4CE0D0" w14:textId="77777777" w:rsidR="00243FDB" w:rsidRDefault="00F31EF6">
      <w:pPr>
        <w:pStyle w:val="ListParagraph"/>
        <w:numPr>
          <w:ilvl w:val="0"/>
          <w:numId w:val="8"/>
        </w:numPr>
      </w:pPr>
      <w:r>
        <w:t>Attend or contribute to annual review meetings as requested by the commissioning Local Authority</w:t>
      </w:r>
    </w:p>
    <w:p w14:paraId="7F597150" w14:textId="77777777" w:rsidR="00243FDB" w:rsidRDefault="00F31EF6">
      <w:pPr>
        <w:pStyle w:val="ListParagraph"/>
        <w:numPr>
          <w:ilvl w:val="0"/>
          <w:numId w:val="8"/>
        </w:numPr>
      </w:pPr>
      <w:r>
        <w:lastRenderedPageBreak/>
        <w:t>Notify the Local Authority immediately of any significant change in the young person's needs or circumstances</w:t>
      </w:r>
    </w:p>
    <w:p w14:paraId="330877CF" w14:textId="77777777" w:rsidR="00876F64" w:rsidRDefault="00876F64" w:rsidP="00876F64">
      <w:pPr>
        <w:pStyle w:val="ListParagraph"/>
      </w:pPr>
    </w:p>
    <w:p w14:paraId="255CFDAE"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6. Provision and Support</w:t>
      </w:r>
    </w:p>
    <w:p w14:paraId="7B7CBA2C" w14:textId="77777777" w:rsidR="00243FDB" w:rsidRPr="00876F64" w:rsidRDefault="00F31EF6">
      <w:pPr>
        <w:ind w:left="360"/>
      </w:pPr>
      <w:r>
        <w:t>The Greenhouse provides a range of SEND support through its flexible, needs-led model, including:</w:t>
      </w:r>
    </w:p>
    <w:p w14:paraId="7AFF3280" w14:textId="77777777" w:rsidR="00243FDB" w:rsidRDefault="00F31EF6">
      <w:pPr>
        <w:pStyle w:val="ListParagraph"/>
        <w:numPr>
          <w:ilvl w:val="0"/>
          <w:numId w:val="8"/>
        </w:numPr>
      </w:pPr>
      <w:r>
        <w:t>Bespoke learning plans with individual timetables and learning hours adapted to the young person's capacity</w:t>
      </w:r>
    </w:p>
    <w:p w14:paraId="2B4156E8" w14:textId="77777777" w:rsidR="00243FDB" w:rsidRDefault="00F31EF6">
      <w:pPr>
        <w:pStyle w:val="ListParagraph"/>
        <w:numPr>
          <w:ilvl w:val="0"/>
          <w:numId w:val="8"/>
        </w:numPr>
      </w:pPr>
      <w:r>
        <w:t>Trauma-informed, relational approaches embedded across all provision</w:t>
      </w:r>
    </w:p>
    <w:p w14:paraId="04AFC63F" w14:textId="77777777" w:rsidR="00243FDB" w:rsidRDefault="00F31EF6">
      <w:pPr>
        <w:pStyle w:val="ListParagraph"/>
        <w:numPr>
          <w:ilvl w:val="0"/>
          <w:numId w:val="8"/>
        </w:numPr>
      </w:pPr>
      <w:r>
        <w:t>Adaptive teaching that responds to sensory, cognitive, emotional and communication needs</w:t>
      </w:r>
    </w:p>
    <w:p w14:paraId="665508B2" w14:textId="77777777" w:rsidR="00243FDB" w:rsidRDefault="00F31EF6">
      <w:pPr>
        <w:pStyle w:val="ListParagraph"/>
        <w:numPr>
          <w:ilvl w:val="0"/>
          <w:numId w:val="8"/>
        </w:numPr>
      </w:pPr>
      <w:r>
        <w:t>Access to therapeutic and wellbeing support as appropriate</w:t>
      </w:r>
    </w:p>
    <w:p w14:paraId="673B7C23" w14:textId="77777777" w:rsidR="00243FDB" w:rsidRDefault="00F31EF6">
      <w:pPr>
        <w:pStyle w:val="ListParagraph"/>
        <w:numPr>
          <w:ilvl w:val="0"/>
          <w:numId w:val="8"/>
        </w:numPr>
      </w:pPr>
      <w:r>
        <w:t>Transition and intervention support provided by the Transition and Intervention Practitioner</w:t>
      </w:r>
    </w:p>
    <w:p w14:paraId="701644FF" w14:textId="77777777" w:rsidR="00243FDB" w:rsidRDefault="00F31EF6">
      <w:pPr>
        <w:pStyle w:val="ListParagraph"/>
        <w:numPr>
          <w:ilvl w:val="0"/>
          <w:numId w:val="8"/>
        </w:numPr>
      </w:pPr>
      <w:r>
        <w:t>Access to specialist assessments and external professionals as required</w:t>
      </w:r>
    </w:p>
    <w:p w14:paraId="61E6BD0C" w14:textId="77777777" w:rsidR="00863493" w:rsidRDefault="00863493" w:rsidP="00863493">
      <w:pPr>
        <w:pStyle w:val="ListParagraph"/>
      </w:pPr>
    </w:p>
    <w:p w14:paraId="2161D543"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7. Personal Education Plans (PEPs)</w:t>
      </w:r>
    </w:p>
    <w:p w14:paraId="413F3119" w14:textId="0659835A" w:rsidR="00243FDB" w:rsidRDefault="00F31EF6">
      <w:pPr>
        <w:ind w:left="360"/>
      </w:pPr>
      <w:r>
        <w:t>All looked-after young people at The Greenhouse have a Personal Education Plan (PEP) maintained by their Virtual School Head. These meetings are led by the Headteacher, however all education staff contribute to PEP reviews and ensure that educational targets within the PEP are aligned with The Greenhouse's provision. PEP meetings are treated with the same priority as annual EHCP reviews.</w:t>
      </w:r>
    </w:p>
    <w:p w14:paraId="2861D5E1" w14:textId="77777777" w:rsidR="001050A3" w:rsidRPr="00863493" w:rsidRDefault="001050A3">
      <w:pPr>
        <w:ind w:left="360"/>
      </w:pPr>
    </w:p>
    <w:p w14:paraId="304B6A0B"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8. Equality and Inclusion</w:t>
      </w:r>
    </w:p>
    <w:p w14:paraId="582FF94B" w14:textId="77777777" w:rsidR="00243FDB" w:rsidRDefault="00F31EF6">
      <w:pPr>
        <w:ind w:left="360"/>
      </w:pPr>
      <w:r>
        <w:t>The Greenhouse is committed to making reasonable adjustments to ensure all young people with SEND can access education on an equal basis. No young person will be disadvantaged due to a disability or special educational need. The Greenhouse actively considers the needs of young people with SEND in all aspects of its operation, including physical access, communication, curriculum design and assessment.</w:t>
      </w:r>
    </w:p>
    <w:p w14:paraId="349D5E0C" w14:textId="77777777" w:rsidR="005D0462" w:rsidRDefault="005D0462">
      <w:pPr>
        <w:ind w:left="360"/>
      </w:pPr>
    </w:p>
    <w:p w14:paraId="3A4F8599" w14:textId="77777777" w:rsidR="00E503B2" w:rsidRDefault="00E503B2">
      <w:pPr>
        <w:ind w:left="360"/>
      </w:pPr>
    </w:p>
    <w:p w14:paraId="7E07A742" w14:textId="77777777" w:rsidR="00E503B2" w:rsidRDefault="00E503B2">
      <w:pPr>
        <w:ind w:left="360"/>
      </w:pPr>
    </w:p>
    <w:p w14:paraId="0B084F5B" w14:textId="77777777" w:rsidR="00E503B2" w:rsidRPr="001050A3" w:rsidRDefault="00E503B2">
      <w:pPr>
        <w:ind w:left="360"/>
      </w:pPr>
    </w:p>
    <w:p w14:paraId="437B8F28"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lastRenderedPageBreak/>
        <w:t>9. Monitoring and Review</w:t>
      </w:r>
    </w:p>
    <w:p w14:paraId="762FD45C" w14:textId="7995307C" w:rsidR="00243FDB" w:rsidRDefault="00F31EF6">
      <w:pPr>
        <w:ind w:left="360"/>
      </w:pPr>
      <w:r>
        <w:t xml:space="preserve">SEND provision is reviewed as part of each young person's termly progress review. This policy is reviewed annually by the Headteacher </w:t>
      </w:r>
      <w:r w:rsidR="00E503B2">
        <w:t xml:space="preserve">and </w:t>
      </w:r>
      <w:r w:rsidR="00E503B2">
        <w:t>SENCO</w:t>
      </w:r>
      <w:r w:rsidR="00E503B2">
        <w:t xml:space="preserve"> </w:t>
      </w:r>
      <w:r>
        <w:t>and approved by the Business Director.</w:t>
      </w:r>
    </w:p>
    <w:p w14:paraId="39AF6CD7" w14:textId="77777777" w:rsidR="005D0462" w:rsidRPr="005D0462" w:rsidRDefault="005D0462">
      <w:pPr>
        <w:ind w:left="360"/>
      </w:pPr>
    </w:p>
    <w:p w14:paraId="23F2BDAB" w14:textId="77777777"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10. Related Policies</w:t>
      </w:r>
    </w:p>
    <w:p w14:paraId="3263007F" w14:textId="77777777" w:rsidR="00243FDB" w:rsidRPr="005D0462" w:rsidRDefault="00F31EF6">
      <w:pPr>
        <w:ind w:left="360"/>
      </w:pPr>
      <w:r>
        <w:t>This policy must be read in conjunction with the following related policies:</w:t>
      </w:r>
    </w:p>
    <w:p w14:paraId="1B16C488" w14:textId="77777777" w:rsidR="00243FDB" w:rsidRDefault="00F31EF6">
      <w:pPr>
        <w:pStyle w:val="ListParagraph"/>
        <w:numPr>
          <w:ilvl w:val="0"/>
          <w:numId w:val="8"/>
        </w:numPr>
      </w:pPr>
      <w:r>
        <w:t>Admissions, Onboarding and Referral Policy</w:t>
      </w:r>
    </w:p>
    <w:p w14:paraId="537E5851" w14:textId="77777777" w:rsidR="00243FDB" w:rsidRDefault="00F31EF6">
      <w:pPr>
        <w:pStyle w:val="ListParagraph"/>
        <w:numPr>
          <w:ilvl w:val="0"/>
          <w:numId w:val="8"/>
        </w:numPr>
      </w:pPr>
      <w:r>
        <w:t>Attendance Policy</w:t>
      </w:r>
    </w:p>
    <w:p w14:paraId="310EFD22" w14:textId="77777777" w:rsidR="00243FDB" w:rsidRDefault="00F31EF6">
      <w:pPr>
        <w:pStyle w:val="ListParagraph"/>
        <w:numPr>
          <w:ilvl w:val="0"/>
          <w:numId w:val="8"/>
        </w:numPr>
      </w:pPr>
      <w:r>
        <w:t>Curriculum Policy</w:t>
      </w:r>
    </w:p>
    <w:p w14:paraId="2711D5CC" w14:textId="77777777" w:rsidR="00243FDB" w:rsidRDefault="00F31EF6">
      <w:pPr>
        <w:pStyle w:val="ListParagraph"/>
        <w:numPr>
          <w:ilvl w:val="0"/>
          <w:numId w:val="8"/>
        </w:numPr>
      </w:pPr>
      <w:r>
        <w:t>Assessment Policy</w:t>
      </w:r>
    </w:p>
    <w:p w14:paraId="7243C1C8" w14:textId="77777777" w:rsidR="00243FDB" w:rsidRDefault="00F31EF6">
      <w:pPr>
        <w:pStyle w:val="ListParagraph"/>
        <w:numPr>
          <w:ilvl w:val="0"/>
          <w:numId w:val="8"/>
        </w:numPr>
      </w:pPr>
      <w:r>
        <w:t>Safeguarding and Child Protection Policy</w:t>
      </w:r>
    </w:p>
    <w:p w14:paraId="2C6E0B38" w14:textId="77777777" w:rsidR="00243FDB" w:rsidRDefault="00F31EF6">
      <w:pPr>
        <w:pStyle w:val="ListParagraph"/>
        <w:numPr>
          <w:ilvl w:val="0"/>
          <w:numId w:val="8"/>
        </w:numPr>
      </w:pPr>
      <w:r>
        <w:t>Learner Welfare Policy</w:t>
      </w:r>
    </w:p>
    <w:p w14:paraId="14B13D09" w14:textId="77777777" w:rsidR="00243FDB" w:rsidRPr="00695C09" w:rsidRDefault="00243FDB">
      <w:pPr>
        <w:ind w:left="360"/>
        <w:rPr>
          <w:sz w:val="28"/>
          <w:szCs w:val="28"/>
        </w:rPr>
      </w:pPr>
    </w:p>
    <w:p w14:paraId="502E4F9C" w14:textId="77777777" w:rsidR="006A4C31" w:rsidRPr="006A4C31" w:rsidRDefault="006A4C31" w:rsidP="006A4C31">
      <w:pPr>
        <w:ind w:left="360"/>
        <w:rPr>
          <w:sz w:val="28"/>
          <w:szCs w:val="28"/>
        </w:rPr>
      </w:pPr>
      <w:r>
        <w:rPr>
          <w:b/>
          <w:bCs/>
          <w:sz w:val="28"/>
          <w:szCs w:val="28"/>
          <w:lang w:val="en"/>
        </w:rPr>
        <w:t>This policy has been written by Fiona Conde (Headteacher) and approved</w:t>
      </w:r>
      <w:r>
        <w:rPr>
          <w:rFonts w:ascii="Arial" w:hAnsi="Arial" w:cs="Arial"/>
          <w:b/>
          <w:bCs/>
          <w:sz w:val="28"/>
          <w:szCs w:val="28"/>
          <w:lang w:val="en"/>
        </w:rPr>
        <w:t> </w:t>
      </w:r>
      <w:r>
        <w:rPr>
          <w:b/>
          <w:bCs/>
          <w:sz w:val="28"/>
          <w:szCs w:val="28"/>
          <w:lang w:val="en"/>
        </w:rPr>
        <w:t>by</w:t>
      </w:r>
      <w:r>
        <w:rPr>
          <w:rFonts w:ascii="Arial" w:hAnsi="Arial" w:cs="Arial"/>
          <w:b/>
          <w:bCs/>
          <w:sz w:val="28"/>
          <w:szCs w:val="28"/>
          <w:lang w:val="en"/>
        </w:rPr>
        <w:t> </w:t>
      </w:r>
      <w:r>
        <w:rPr>
          <w:b/>
          <w:bCs/>
          <w:sz w:val="28"/>
          <w:szCs w:val="28"/>
          <w:lang w:val="en"/>
        </w:rPr>
        <w:t>Jonathon Simpson</w:t>
      </w:r>
      <w:r>
        <w:rPr>
          <w:rFonts w:ascii="Arial" w:hAnsi="Arial" w:cs="Arial"/>
          <w:b/>
          <w:bCs/>
          <w:sz w:val="28"/>
          <w:szCs w:val="28"/>
          <w:lang w:val="en"/>
        </w:rPr>
        <w:t> </w:t>
      </w:r>
      <w:r>
        <w:rPr>
          <w:b/>
          <w:bCs/>
          <w:sz w:val="28"/>
          <w:szCs w:val="28"/>
          <w:lang w:val="en"/>
        </w:rPr>
        <w:t>(Business Director).</w:t>
      </w:r>
      <w:r>
        <w:rPr>
          <w:rFonts w:ascii="Arial" w:hAnsi="Arial" w:cs="Arial"/>
          <w:b/>
          <w:bCs/>
          <w:sz w:val="28"/>
          <w:szCs w:val="28"/>
        </w:rPr>
        <w:t> </w:t>
      </w:r>
      <w:r>
        <w:rPr>
          <w:sz w:val="28"/>
          <w:szCs w:val="28"/>
        </w:rPr>
        <w:t> </w:t>
      </w:r>
    </w:p>
    <w:p w14:paraId="1BB0EFD6" w14:textId="36D60705" w:rsidR="006A4C31" w:rsidRPr="006A4C31" w:rsidRDefault="006A4C31" w:rsidP="006A4C31">
      <w:pPr>
        <w:ind w:left="360"/>
        <w:rPr>
          <w:sz w:val="28"/>
          <w:szCs w:val="28"/>
        </w:rPr>
      </w:pPr>
      <w:r>
        <w:rPr>
          <w:noProof/>
          <w:sz w:val="28"/>
          <w:szCs w:val="28"/>
        </w:rPr>
        <w:drawing>
          <wp:inline distT="0" distB="0" distL="0" distR="0" wp14:anchorId="57C5893A" wp14:editId="11850323">
            <wp:extent cx="1828800" cy="571500"/>
            <wp:effectExtent l="0" t="0" r="0" b="0"/>
            <wp:docPr id="739134092" name="Picture 2" descr="A black background with white spot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white spots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571500"/>
                    </a:xfrm>
                    <a:prstGeom prst="rect">
                      <a:avLst/>
                    </a:prstGeom>
                    <a:noFill/>
                    <a:ln>
                      <a:noFill/>
                    </a:ln>
                  </pic:spPr>
                </pic:pic>
              </a:graphicData>
            </a:graphic>
          </wp:inline>
        </w:drawing>
      </w:r>
      <w:r>
        <w:rPr>
          <w:rFonts w:ascii="Arial" w:hAnsi="Arial" w:cs="Arial"/>
          <w:b/>
          <w:bCs/>
          <w:sz w:val="28"/>
          <w:szCs w:val="28"/>
        </w:rPr>
        <w:t>  </w:t>
      </w:r>
      <w:r>
        <w:rPr>
          <w:sz w:val="28"/>
          <w:szCs w:val="28"/>
        </w:rPr>
        <w:t> </w:t>
      </w:r>
    </w:p>
    <w:p w14:paraId="6DEDA840" w14:textId="77777777" w:rsidR="006A4C31" w:rsidRPr="006A4C31" w:rsidRDefault="006A4C31" w:rsidP="006A4C31">
      <w:pPr>
        <w:ind w:left="360"/>
        <w:rPr>
          <w:sz w:val="28"/>
          <w:szCs w:val="28"/>
        </w:rPr>
      </w:pPr>
      <w:r>
        <w:rPr>
          <w:b/>
          <w:bCs/>
          <w:sz w:val="28"/>
          <w:szCs w:val="28"/>
          <w:lang w:val="en"/>
        </w:rPr>
        <w:t>Approval Date:</w:t>
      </w:r>
      <w:r>
        <w:rPr>
          <w:rFonts w:ascii="Arial" w:hAnsi="Arial" w:cs="Arial"/>
          <w:b/>
          <w:bCs/>
          <w:sz w:val="28"/>
          <w:szCs w:val="28"/>
          <w:lang w:val="en"/>
        </w:rPr>
        <w:t> </w:t>
      </w:r>
      <w:r>
        <w:rPr>
          <w:b/>
          <w:bCs/>
          <w:sz w:val="28"/>
          <w:szCs w:val="28"/>
          <w:lang w:val="en"/>
        </w:rPr>
        <w:t>June</w:t>
      </w:r>
      <w:r>
        <w:rPr>
          <w:rFonts w:ascii="Arial" w:hAnsi="Arial" w:cs="Arial"/>
          <w:b/>
          <w:bCs/>
          <w:sz w:val="28"/>
          <w:szCs w:val="28"/>
          <w:lang w:val="en"/>
        </w:rPr>
        <w:t> </w:t>
      </w:r>
      <w:r>
        <w:rPr>
          <w:b/>
          <w:bCs/>
          <w:sz w:val="28"/>
          <w:szCs w:val="28"/>
          <w:lang w:val="en"/>
        </w:rPr>
        <w:t>2026</w:t>
      </w:r>
      <w:r>
        <w:rPr>
          <w:sz w:val="28"/>
          <w:szCs w:val="28"/>
        </w:rPr>
        <w:t> </w:t>
      </w:r>
    </w:p>
    <w:p w14:paraId="515C9257" w14:textId="77777777" w:rsidR="006A4C31" w:rsidRPr="006A4C31" w:rsidRDefault="006A4C31" w:rsidP="006A4C31">
      <w:pPr>
        <w:ind w:left="360"/>
        <w:rPr>
          <w:sz w:val="28"/>
          <w:szCs w:val="28"/>
        </w:rPr>
      </w:pPr>
      <w:r>
        <w:rPr>
          <w:b/>
          <w:bCs/>
          <w:sz w:val="28"/>
          <w:szCs w:val="28"/>
          <w:lang w:val="en"/>
        </w:rPr>
        <w:t>Review Date:</w:t>
      </w:r>
      <w:r>
        <w:rPr>
          <w:rFonts w:ascii="Arial" w:hAnsi="Arial" w:cs="Arial"/>
          <w:b/>
          <w:bCs/>
          <w:sz w:val="28"/>
          <w:szCs w:val="28"/>
          <w:lang w:val="en"/>
        </w:rPr>
        <w:t> </w:t>
      </w:r>
      <w:r>
        <w:rPr>
          <w:b/>
          <w:bCs/>
          <w:sz w:val="28"/>
          <w:szCs w:val="28"/>
          <w:lang w:val="en"/>
        </w:rPr>
        <w:t>June</w:t>
      </w:r>
      <w:r>
        <w:rPr>
          <w:rFonts w:ascii="Arial" w:hAnsi="Arial" w:cs="Arial"/>
          <w:b/>
          <w:bCs/>
          <w:sz w:val="28"/>
          <w:szCs w:val="28"/>
          <w:lang w:val="en"/>
        </w:rPr>
        <w:t> </w:t>
      </w:r>
      <w:r>
        <w:rPr>
          <w:b/>
          <w:bCs/>
          <w:sz w:val="28"/>
          <w:szCs w:val="28"/>
          <w:lang w:val="en"/>
        </w:rPr>
        <w:t>2027</w:t>
      </w:r>
      <w:r>
        <w:rPr>
          <w:rFonts w:ascii="Arial" w:hAnsi="Arial" w:cs="Arial"/>
          <w:b/>
          <w:bCs/>
          <w:sz w:val="28"/>
          <w:szCs w:val="28"/>
        </w:rPr>
        <w:t>  </w:t>
      </w:r>
      <w:r>
        <w:rPr>
          <w:sz w:val="28"/>
          <w:szCs w:val="28"/>
        </w:rPr>
        <w:t> </w:t>
      </w:r>
    </w:p>
    <w:p w14:paraId="6CC65C33" w14:textId="486D1E7A" w:rsidR="00243FDB" w:rsidRPr="00695C09" w:rsidRDefault="00243FDB">
      <w:pPr>
        <w:ind w:left="360"/>
        <w:rPr>
          <w:sz w:val="28"/>
          <w:szCs w:val="28"/>
        </w:rPr>
      </w:pPr>
    </w:p>
    <w:sectPr w:rsidR="00243FDB" w:rsidRPr="00695C0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1A449" w14:textId="77777777" w:rsidR="00581F34" w:rsidRDefault="00581F34">
      <w:pPr>
        <w:spacing w:after="0" w:line="240" w:lineRule="auto"/>
      </w:pPr>
      <w:r>
        <w:separator/>
      </w:r>
    </w:p>
  </w:endnote>
  <w:endnote w:type="continuationSeparator" w:id="0">
    <w:p w14:paraId="630E6C07" w14:textId="77777777" w:rsidR="00581F34" w:rsidRDefault="00581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D11C" w14:textId="77777777" w:rsidR="00243FDB" w:rsidRDefault="00243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664059"/>
      <w:docPartObj>
        <w:docPartGallery w:val="Page Numbers (Bottom of Page)"/>
        <w:docPartUnique/>
      </w:docPartObj>
    </w:sdtPr>
    <w:sdtEndPr/>
    <w:sdtContent>
      <w:p w14:paraId="0EF21F62" w14:textId="77777777" w:rsidR="00243FDB" w:rsidRDefault="00F31EF6">
        <w:pPr>
          <w:pStyle w:val="Footer"/>
          <w:jc w:val="right"/>
        </w:pPr>
        <w:r>
          <w:fldChar w:fldCharType="begin"/>
        </w:r>
        <w:r>
          <w:instrText xml:space="preserve"> PAGE </w:instrText>
        </w:r>
        <w:r>
          <w:fldChar w:fldCharType="separate"/>
        </w:r>
        <w:r>
          <w:t>12</w:t>
        </w:r>
        <w:r>
          <w:fldChar w:fldCharType="end"/>
        </w:r>
      </w:p>
    </w:sdtContent>
  </w:sdt>
  <w:p w14:paraId="79AAA8EC" w14:textId="77777777" w:rsidR="00243FDB" w:rsidRDefault="00243F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693061"/>
      <w:docPartObj>
        <w:docPartGallery w:val="Page Numbers (Bottom of Page)"/>
        <w:docPartUnique/>
      </w:docPartObj>
    </w:sdtPr>
    <w:sdtEndPr/>
    <w:sdtContent>
      <w:p w14:paraId="45D7E90C" w14:textId="77777777" w:rsidR="00243FDB" w:rsidRDefault="00F31EF6">
        <w:pPr>
          <w:pStyle w:val="Footer"/>
          <w:jc w:val="right"/>
        </w:pPr>
        <w:r>
          <w:fldChar w:fldCharType="begin"/>
        </w:r>
        <w:r>
          <w:instrText xml:space="preserve"> PAGE </w:instrText>
        </w:r>
        <w:r>
          <w:fldChar w:fldCharType="separate"/>
        </w:r>
        <w:r>
          <w:t>1</w:t>
        </w:r>
        <w:r>
          <w:fldChar w:fldCharType="end"/>
        </w:r>
      </w:p>
    </w:sdtContent>
  </w:sdt>
  <w:p w14:paraId="071453F8" w14:textId="77777777" w:rsidR="00243FDB" w:rsidRDefault="00243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5D670" w14:textId="77777777" w:rsidR="00581F34" w:rsidRDefault="00581F34">
      <w:pPr>
        <w:spacing w:after="0" w:line="240" w:lineRule="auto"/>
      </w:pPr>
      <w:r>
        <w:separator/>
      </w:r>
    </w:p>
  </w:footnote>
  <w:footnote w:type="continuationSeparator" w:id="0">
    <w:p w14:paraId="4D6A0DE1" w14:textId="77777777" w:rsidR="00581F34" w:rsidRDefault="00581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730F7" w14:textId="77777777" w:rsidR="00243FDB" w:rsidRDefault="00243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D63F" w14:textId="77777777" w:rsidR="00243FDB" w:rsidRDefault="00243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6E6D" w14:textId="77777777" w:rsidR="00243FDB" w:rsidRDefault="00F31EF6">
    <w:pPr>
      <w:pStyle w:val="Header"/>
    </w:pPr>
    <w:r>
      <w:rPr>
        <w:noProof/>
      </w:rPr>
      <w:drawing>
        <wp:anchor distT="0" distB="0" distL="114300" distR="114300" simplePos="0" relativeHeight="5" behindDoc="1" locked="0" layoutInCell="0" allowOverlap="1" wp14:anchorId="353C3352" wp14:editId="6189A681">
          <wp:simplePos x="0" y="0"/>
          <wp:positionH relativeFrom="column">
            <wp:posOffset>-946785</wp:posOffset>
          </wp:positionH>
          <wp:positionV relativeFrom="paragraph">
            <wp:posOffset>-393065</wp:posOffset>
          </wp:positionV>
          <wp:extent cx="7624445" cy="819785"/>
          <wp:effectExtent l="0" t="0" r="0" b="0"/>
          <wp:wrapSquare wrapText="bothSides"/>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7624445" cy="819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6B6"/>
    <w:multiLevelType w:val="multilevel"/>
    <w:tmpl w:val="8AB82F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620222B"/>
    <w:multiLevelType w:val="multilevel"/>
    <w:tmpl w:val="E8B61D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8F964EF"/>
    <w:multiLevelType w:val="multilevel"/>
    <w:tmpl w:val="FFF021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7AC44A6"/>
    <w:multiLevelType w:val="multilevel"/>
    <w:tmpl w:val="8B060C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8C91BB8"/>
    <w:multiLevelType w:val="multilevel"/>
    <w:tmpl w:val="435EF1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B59418C"/>
    <w:multiLevelType w:val="multilevel"/>
    <w:tmpl w:val="8D7C6B3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30FF6443"/>
    <w:multiLevelType w:val="multilevel"/>
    <w:tmpl w:val="7944BF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34473CEC"/>
    <w:multiLevelType w:val="multilevel"/>
    <w:tmpl w:val="B38CAE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3BA74354"/>
    <w:multiLevelType w:val="multilevel"/>
    <w:tmpl w:val="47B678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73FB406E"/>
    <w:multiLevelType w:val="multilevel"/>
    <w:tmpl w:val="051656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71865963">
    <w:abstractNumId w:val="7"/>
  </w:num>
  <w:num w:numId="2" w16cid:durableId="930360290">
    <w:abstractNumId w:val="0"/>
  </w:num>
  <w:num w:numId="3" w16cid:durableId="640622312">
    <w:abstractNumId w:val="8"/>
  </w:num>
  <w:num w:numId="4" w16cid:durableId="1081290719">
    <w:abstractNumId w:val="6"/>
  </w:num>
  <w:num w:numId="5" w16cid:durableId="430860776">
    <w:abstractNumId w:val="1"/>
  </w:num>
  <w:num w:numId="6" w16cid:durableId="1935704039">
    <w:abstractNumId w:val="2"/>
  </w:num>
  <w:num w:numId="7" w16cid:durableId="975110444">
    <w:abstractNumId w:val="4"/>
  </w:num>
  <w:num w:numId="8" w16cid:durableId="769936963">
    <w:abstractNumId w:val="3"/>
  </w:num>
  <w:num w:numId="9" w16cid:durableId="1622107781">
    <w:abstractNumId w:val="5"/>
  </w:num>
  <w:num w:numId="10" w16cid:durableId="4963060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FDB"/>
    <w:rsid w:val="000C58B8"/>
    <w:rsid w:val="001050A3"/>
    <w:rsid w:val="001C7528"/>
    <w:rsid w:val="00243FDB"/>
    <w:rsid w:val="004148C7"/>
    <w:rsid w:val="00581F34"/>
    <w:rsid w:val="005D0462"/>
    <w:rsid w:val="00695C09"/>
    <w:rsid w:val="006A4C31"/>
    <w:rsid w:val="006C1F53"/>
    <w:rsid w:val="00831918"/>
    <w:rsid w:val="00842495"/>
    <w:rsid w:val="00863493"/>
    <w:rsid w:val="00876F64"/>
    <w:rsid w:val="00B243E9"/>
    <w:rsid w:val="00BF1F1F"/>
    <w:rsid w:val="00C17E50"/>
    <w:rsid w:val="00C52DC1"/>
    <w:rsid w:val="00E503B2"/>
    <w:rsid w:val="00E75CFA"/>
    <w:rsid w:val="00F31EF6"/>
    <w:rsid w:val="00FE20FE"/>
    <w:rsid w:val="0B75E488"/>
    <w:rsid w:val="119F226F"/>
    <w:rsid w:val="430FBB3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A24C"/>
  <w15:docId w15:val="{8E7360CA-96CA-4DFA-8E79-464DE252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rsid w:val="005A0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0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01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01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01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01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1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1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1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A01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5A01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5A01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5A01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5A01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5A0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5A0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5A0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5A012B"/>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5A012B"/>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5A012B"/>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5A012B"/>
    <w:rPr>
      <w:i/>
      <w:iCs/>
      <w:color w:val="404040" w:themeColor="text1" w:themeTint="BF"/>
    </w:rPr>
  </w:style>
  <w:style w:type="character" w:styleId="IntenseEmphasis">
    <w:name w:val="Intense Emphasis"/>
    <w:basedOn w:val="DefaultParagraphFont"/>
    <w:uiPriority w:val="21"/>
    <w:qFormat/>
    <w:rsid w:val="005A012B"/>
    <w:rPr>
      <w:i/>
      <w:iCs/>
      <w:color w:val="0F4761" w:themeColor="accent1" w:themeShade="BF"/>
    </w:rPr>
  </w:style>
  <w:style w:type="character" w:customStyle="1" w:styleId="IntenseQuoteChar">
    <w:name w:val="Intense Quote Char"/>
    <w:basedOn w:val="DefaultParagraphFont"/>
    <w:link w:val="IntenseQuote"/>
    <w:uiPriority w:val="30"/>
    <w:qFormat/>
    <w:rsid w:val="005A012B"/>
    <w:rPr>
      <w:i/>
      <w:iCs/>
      <w:color w:val="0F4761" w:themeColor="accent1" w:themeShade="BF"/>
    </w:rPr>
  </w:style>
  <w:style w:type="character" w:styleId="IntenseReference">
    <w:name w:val="Intense Reference"/>
    <w:basedOn w:val="DefaultParagraphFont"/>
    <w:uiPriority w:val="32"/>
    <w:qFormat/>
    <w:rsid w:val="005A012B"/>
    <w:rPr>
      <w:b/>
      <w:bCs/>
      <w:smallCaps/>
      <w:color w:val="0F4761" w:themeColor="accent1" w:themeShade="BF"/>
      <w:spacing w:val="5"/>
    </w:rPr>
  </w:style>
  <w:style w:type="character" w:styleId="Hyperlink">
    <w:name w:val="Hyperlink"/>
    <w:basedOn w:val="DefaultParagraphFont"/>
    <w:uiPriority w:val="99"/>
    <w:unhideWhenUsed/>
    <w:rsid w:val="003871F6"/>
    <w:rPr>
      <w:color w:val="467886" w:themeColor="hyperlink"/>
      <w:u w:val="single"/>
    </w:rPr>
  </w:style>
  <w:style w:type="character" w:styleId="UnresolvedMention">
    <w:name w:val="Unresolved Mention"/>
    <w:basedOn w:val="DefaultParagraphFont"/>
    <w:uiPriority w:val="99"/>
    <w:semiHidden/>
    <w:unhideWhenUsed/>
    <w:qFormat/>
    <w:rsid w:val="003871F6"/>
    <w:rPr>
      <w:color w:val="605E5C"/>
      <w:shd w:val="clear" w:color="auto" w:fill="E1DFDD"/>
    </w:rPr>
  </w:style>
  <w:style w:type="character" w:styleId="Strong">
    <w:name w:val="Strong"/>
    <w:basedOn w:val="DefaultParagraphFont"/>
    <w:uiPriority w:val="22"/>
    <w:qFormat/>
    <w:rsid w:val="00A0206B"/>
    <w:rPr>
      <w:b/>
      <w:bCs/>
    </w:rPr>
  </w:style>
  <w:style w:type="character" w:customStyle="1" w:styleId="HeaderChar">
    <w:name w:val="Header Char"/>
    <w:basedOn w:val="DefaultParagraphFont"/>
    <w:link w:val="Header"/>
    <w:uiPriority w:val="99"/>
    <w:qFormat/>
    <w:rsid w:val="000017C2"/>
  </w:style>
  <w:style w:type="character" w:customStyle="1" w:styleId="FooterChar">
    <w:name w:val="Footer Char"/>
    <w:basedOn w:val="DefaultParagraphFont"/>
    <w:link w:val="Footer"/>
    <w:uiPriority w:val="99"/>
    <w:qFormat/>
    <w:rsid w:val="000017C2"/>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5A012B"/>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A0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12B"/>
    <w:pPr>
      <w:spacing w:before="160"/>
      <w:jc w:val="center"/>
    </w:pPr>
    <w:rPr>
      <w:i/>
      <w:iCs/>
      <w:color w:val="404040" w:themeColor="text1" w:themeTint="BF"/>
    </w:rPr>
  </w:style>
  <w:style w:type="paragraph" w:styleId="ListParagraph">
    <w:name w:val="List Paragraph"/>
    <w:basedOn w:val="Normal"/>
    <w:uiPriority w:val="34"/>
    <w:qFormat/>
    <w:rsid w:val="005A012B"/>
    <w:pPr>
      <w:ind w:left="720"/>
      <w:contextualSpacing/>
    </w:pPr>
  </w:style>
  <w:style w:type="paragraph" w:styleId="IntenseQuote">
    <w:name w:val="Intense Quote"/>
    <w:basedOn w:val="Normal"/>
    <w:next w:val="Normal"/>
    <w:link w:val="IntenseQuoteChar"/>
    <w:uiPriority w:val="30"/>
    <w:qFormat/>
    <w:rsid w:val="005A0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NoSpacing">
    <w:name w:val="No Spacing"/>
    <w:uiPriority w:val="1"/>
    <w:qFormat/>
    <w:rsid w:val="00820467"/>
  </w:style>
  <w:style w:type="paragraph" w:styleId="NormalWeb">
    <w:name w:val="Normal (Web)"/>
    <w:basedOn w:val="Normal"/>
    <w:uiPriority w:val="99"/>
    <w:semiHidden/>
    <w:unhideWhenUsed/>
    <w:qFormat/>
    <w:rsid w:val="00A0206B"/>
    <w:pPr>
      <w:spacing w:beforeAutospacing="1" w:afterAutospacing="1" w:line="240" w:lineRule="auto"/>
    </w:pPr>
    <w:rPr>
      <w:rFonts w:ascii="Times New Roman" w:eastAsia="Times New Roman" w:hAnsi="Times New Roman" w:cs="Times New Roman"/>
      <w:kern w:val="0"/>
      <w:lang w:eastAsia="en-GB"/>
      <w14:ligatures w14:val="none"/>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017C2"/>
    <w:pPr>
      <w:tabs>
        <w:tab w:val="center" w:pos="4513"/>
        <w:tab w:val="right" w:pos="9026"/>
      </w:tabs>
      <w:spacing w:after="0" w:line="240" w:lineRule="auto"/>
    </w:pPr>
  </w:style>
  <w:style w:type="paragraph" w:styleId="Footer">
    <w:name w:val="footer"/>
    <w:basedOn w:val="Normal"/>
    <w:link w:val="FooterChar"/>
    <w:uiPriority w:val="99"/>
    <w:unhideWhenUsed/>
    <w:rsid w:val="000017C2"/>
    <w:pPr>
      <w:tabs>
        <w:tab w:val="center" w:pos="4513"/>
        <w:tab w:val="right" w:pos="9026"/>
      </w:tabs>
      <w:spacing w:after="0" w:line="240" w:lineRule="auto"/>
    </w:pPr>
  </w:style>
  <w:style w:type="table" w:styleId="TableGrid">
    <w:name w:val="Table Grid"/>
    <w:basedOn w:val="TableNormal"/>
    <w:uiPriority w:val="39"/>
    <w:rsid w:val="005A0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073E69E10BA42B38A14E118F3DF5D" ma:contentTypeVersion="15" ma:contentTypeDescription="Create a new document." ma:contentTypeScope="" ma:versionID="5288f70172412d42722a46b748af749d">
  <xsd:schema xmlns:xsd="http://www.w3.org/2001/XMLSchema" xmlns:xs="http://www.w3.org/2001/XMLSchema" xmlns:p="http://schemas.microsoft.com/office/2006/metadata/properties" xmlns:ns2="0989e5d0-fa9d-4c85-9180-d9786a41b9f8" xmlns:ns3="61c5df54-bcd0-4751-a418-23e62e931dd3" targetNamespace="http://schemas.microsoft.com/office/2006/metadata/properties" ma:root="true" ma:fieldsID="f1ba2cfdd0f0f18dc97860b6b14e810d" ns2:_="" ns3:_="">
    <xsd:import namespace="0989e5d0-fa9d-4c85-9180-d9786a41b9f8"/>
    <xsd:import namespace="61c5df54-bcd0-4751-a418-23e62e931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9e5d0-fa9d-4c85-9180-d9786a41b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b76e3b-9072-4022-9154-751f395ec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5df54-bcd0-4751-a418-23e62e931dd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78597-0ed0-405a-80d4-24cb7a35eabd}" ma:internalName="TaxCatchAll" ma:showField="CatchAllData" ma:web="61c5df54-bcd0-4751-a418-23e62e931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c5df54-bcd0-4751-a418-23e62e931dd3" xsi:nil="true"/>
    <lcf76f155ced4ddcb4097134ff3c332f xmlns="0989e5d0-fa9d-4c85-9180-d9786a41b9f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0A2E2-32DE-4F3B-A47E-0B743974C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9e5d0-fa9d-4c85-9180-d9786a41b9f8"/>
    <ds:schemaRef ds:uri="61c5df54-bcd0-4751-a418-23e62e931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FA94C5-6D80-4807-A90E-73DE772F363C}">
  <ds:schemaRefs>
    <ds:schemaRef ds:uri="http://schemas.microsoft.com/office/2006/metadata/properties"/>
    <ds:schemaRef ds:uri="http://schemas.microsoft.com/office/infopath/2007/PartnerControls"/>
    <ds:schemaRef ds:uri="61c5df54-bcd0-4751-a418-23e62e931dd3"/>
    <ds:schemaRef ds:uri="0989e5d0-fa9d-4c85-9180-d9786a41b9f8"/>
  </ds:schemaRefs>
</ds:datastoreItem>
</file>

<file path=customXml/itemProps3.xml><?xml version="1.0" encoding="utf-8"?>
<ds:datastoreItem xmlns:ds="http://schemas.openxmlformats.org/officeDocument/2006/customXml" ds:itemID="{A979589C-67B4-481B-8013-2C8F657BC2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Fiona</dc:creator>
  <dc:description/>
  <cp:lastModifiedBy>CONDE, Fiona</cp:lastModifiedBy>
  <cp:revision>2</cp:revision>
  <dcterms:created xsi:type="dcterms:W3CDTF">2026-07-21T12:33:00Z</dcterms:created>
  <dcterms:modified xsi:type="dcterms:W3CDTF">2026-07-21T12:33:00Z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0x010100FDE073E69E10BA42B38A14E118F3DF5D</vt:lpwstr>
  </property>
  <property fmtid="{D5CDD505-2E9C-101B-9397-08002B2CF9AE}" pid="3" name="MediaServiceImageTags">
    <vt:lpwstr/>
  </property>
</Properties>
</file>